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22"/>
      </w:pPr>
      <w:r>
        <w:rPr/>
        <w:t>Film</w:t>
      </w:r>
      <w:r>
        <w:rPr>
          <w:spacing w:val="-1"/>
        </w:rPr>
        <w:t> </w:t>
      </w:r>
      <w:r>
        <w:rPr/>
        <w:t>and</w:t>
      </w:r>
      <w:r>
        <w:rPr>
          <w:spacing w:val="-1"/>
        </w:rPr>
        <w:t> </w:t>
      </w:r>
      <w:r>
        <w:rPr/>
        <w:t>Media Studies</w:t>
      </w:r>
      <w:r>
        <w:rPr>
          <w:spacing w:val="-1"/>
        </w:rPr>
        <w:t> </w:t>
      </w:r>
      <w:r>
        <w:rPr/>
        <w:t>graduate seminar best </w:t>
      </w:r>
      <w:r>
        <w:rPr>
          <w:spacing w:val="-2"/>
        </w:rPr>
        <w:t>practices</w:t>
      </w:r>
    </w:p>
    <w:p>
      <w:pPr>
        <w:pStyle w:val="BodyText"/>
        <w:spacing w:before="43"/>
      </w:pPr>
      <w:r>
        <w:rPr/>
        <w:t>Approved</w:t>
      </w:r>
      <w:r>
        <w:rPr>
          <w:spacing w:val="-3"/>
        </w:rPr>
        <w:t> </w:t>
      </w:r>
      <w:r>
        <w:rPr/>
        <w:t>January</w:t>
      </w:r>
      <w:r>
        <w:rPr>
          <w:spacing w:val="-2"/>
        </w:rPr>
        <w:t> </w:t>
      </w:r>
      <w:r>
        <w:rPr>
          <w:spacing w:val="-4"/>
        </w:rPr>
        <w:t>2026</w:t>
      </w:r>
    </w:p>
    <w:p>
      <w:pPr>
        <w:pStyle w:val="BodyText"/>
        <w:spacing w:before="86"/>
      </w:pPr>
    </w:p>
    <w:p>
      <w:pPr>
        <w:pStyle w:val="Heading1"/>
      </w:pPr>
      <w:r>
        <w:rPr>
          <w:spacing w:val="-2"/>
        </w:rPr>
        <w:t>Workload</w:t>
      </w:r>
    </w:p>
    <w:p>
      <w:pPr>
        <w:pStyle w:val="BodyText"/>
        <w:spacing w:before="86"/>
        <w:rPr>
          <w:b/>
        </w:rPr>
      </w:pPr>
    </w:p>
    <w:p>
      <w:pPr>
        <w:spacing w:line="276" w:lineRule="auto" w:before="0"/>
        <w:ind w:left="0" w:right="83" w:firstLine="0"/>
        <w:jc w:val="left"/>
        <w:rPr>
          <w:sz w:val="24"/>
        </w:rPr>
      </w:pPr>
      <w:r>
        <w:rPr>
          <w:sz w:val="24"/>
        </w:rPr>
        <w:t>FMS graduate courses are each 4 units and meet 3 hours per week. </w:t>
      </w:r>
      <w:r>
        <w:rPr>
          <w:color w:val="1155CC"/>
          <w:sz w:val="24"/>
          <w:u w:val="single" w:color="1155CC"/>
        </w:rPr>
        <w:t>Campus</w:t>
      </w:r>
      <w:r>
        <w:rPr>
          <w:color w:val="1155CC"/>
          <w:sz w:val="24"/>
        </w:rPr>
        <w:t> </w:t>
      </w:r>
      <w:r>
        <w:rPr>
          <w:color w:val="1155CC"/>
          <w:sz w:val="24"/>
          <w:u w:val="single" w:color="1155CC"/>
        </w:rPr>
        <w:t>expectations</w:t>
      </w:r>
      <w:r>
        <w:rPr>
          <w:color w:val="1155CC"/>
          <w:spacing w:val="-4"/>
          <w:sz w:val="24"/>
        </w:rPr>
        <w:t> </w:t>
      </w:r>
      <w:r>
        <w:rPr>
          <w:sz w:val="24"/>
        </w:rPr>
        <w:t>stipulate</w:t>
      </w:r>
      <w:r>
        <w:rPr>
          <w:spacing w:val="-3"/>
          <w:sz w:val="24"/>
        </w:rPr>
        <w:t> </w:t>
      </w:r>
      <w:r>
        <w:rPr>
          <w:sz w:val="24"/>
        </w:rPr>
        <w:t>an</w:t>
      </w:r>
      <w:r>
        <w:rPr>
          <w:spacing w:val="-3"/>
          <w:sz w:val="24"/>
        </w:rPr>
        <w:t> </w:t>
      </w:r>
      <w:r>
        <w:rPr>
          <w:sz w:val="24"/>
        </w:rPr>
        <w:t>average</w:t>
      </w:r>
      <w:r>
        <w:rPr>
          <w:spacing w:val="-3"/>
          <w:sz w:val="24"/>
        </w:rPr>
        <w:t> </w:t>
      </w:r>
      <w:r>
        <w:rPr>
          <w:sz w:val="24"/>
        </w:rPr>
        <w:t>weekly</w:t>
      </w:r>
      <w:r>
        <w:rPr>
          <w:spacing w:val="-3"/>
          <w:sz w:val="24"/>
        </w:rPr>
        <w:t> </w:t>
      </w:r>
      <w:r>
        <w:rPr>
          <w:sz w:val="24"/>
        </w:rPr>
        <w:t>workload</w:t>
      </w:r>
      <w:r>
        <w:rPr>
          <w:spacing w:val="-3"/>
          <w:sz w:val="24"/>
        </w:rPr>
        <w:t> </w:t>
      </w:r>
      <w:r>
        <w:rPr>
          <w:sz w:val="24"/>
        </w:rPr>
        <w:t>of</w:t>
      </w:r>
      <w:r>
        <w:rPr>
          <w:spacing w:val="-4"/>
          <w:sz w:val="24"/>
        </w:rPr>
        <w:t> </w:t>
      </w:r>
      <w:r>
        <w:rPr>
          <w:sz w:val="24"/>
        </w:rPr>
        <w:t>3</w:t>
      </w:r>
      <w:r>
        <w:rPr>
          <w:spacing w:val="-3"/>
          <w:sz w:val="24"/>
        </w:rPr>
        <w:t> </w:t>
      </w:r>
      <w:r>
        <w:rPr>
          <w:sz w:val="24"/>
        </w:rPr>
        <w:t>hours</w:t>
      </w:r>
      <w:r>
        <w:rPr>
          <w:spacing w:val="-3"/>
          <w:sz w:val="24"/>
        </w:rPr>
        <w:t> </w:t>
      </w:r>
      <w:r>
        <w:rPr>
          <w:sz w:val="24"/>
        </w:rPr>
        <w:t>per</w:t>
      </w:r>
      <w:r>
        <w:rPr>
          <w:spacing w:val="-3"/>
          <w:sz w:val="24"/>
        </w:rPr>
        <w:t> </w:t>
      </w:r>
      <w:r>
        <w:rPr>
          <w:sz w:val="24"/>
        </w:rPr>
        <w:t>unit;</w:t>
      </w:r>
      <w:r>
        <w:rPr>
          <w:spacing w:val="-4"/>
          <w:sz w:val="24"/>
        </w:rPr>
        <w:t> </w:t>
      </w:r>
      <w:r>
        <w:rPr>
          <w:sz w:val="24"/>
        </w:rPr>
        <w:t>this</w:t>
      </w:r>
      <w:r>
        <w:rPr>
          <w:spacing w:val="-3"/>
          <w:sz w:val="24"/>
        </w:rPr>
        <w:t> </w:t>
      </w:r>
      <w:r>
        <w:rPr>
          <w:sz w:val="24"/>
        </w:rPr>
        <w:t>amounts</w:t>
      </w:r>
      <w:r>
        <w:rPr>
          <w:spacing w:val="-3"/>
          <w:sz w:val="24"/>
        </w:rPr>
        <w:t> </w:t>
      </w:r>
      <w:r>
        <w:rPr>
          <w:sz w:val="24"/>
        </w:rPr>
        <w:t>to 12 hours per week: </w:t>
      </w:r>
      <w:r>
        <w:rPr>
          <w:b/>
          <w:sz w:val="24"/>
        </w:rPr>
        <w:t>3 hours of class time and 9 hours of out-of-class work per week</w:t>
      </w:r>
      <w:r>
        <w:rPr>
          <w:b/>
          <w:spacing w:val="-1"/>
          <w:sz w:val="24"/>
        </w:rPr>
        <w:t> </w:t>
      </w:r>
      <w:r>
        <w:rPr>
          <w:b/>
          <w:sz w:val="24"/>
        </w:rPr>
        <w:t>on</w:t>
      </w:r>
      <w:r>
        <w:rPr>
          <w:b/>
          <w:spacing w:val="-1"/>
          <w:sz w:val="24"/>
        </w:rPr>
        <w:t> </w:t>
      </w:r>
      <w:r>
        <w:rPr>
          <w:b/>
          <w:sz w:val="24"/>
        </w:rPr>
        <w:t>average</w:t>
      </w:r>
      <w:r>
        <w:rPr>
          <w:sz w:val="24"/>
        </w:rPr>
        <w:t>.</w:t>
      </w:r>
      <w:r>
        <w:rPr>
          <w:spacing w:val="-1"/>
          <w:sz w:val="24"/>
        </w:rPr>
        <w:t> </w:t>
      </w:r>
      <w:r>
        <w:rPr>
          <w:sz w:val="24"/>
        </w:rPr>
        <w:t>Faculty are advised to include a workload expectation statement</w:t>
      </w:r>
      <w:r>
        <w:rPr>
          <w:spacing w:val="-1"/>
          <w:sz w:val="24"/>
        </w:rPr>
        <w:t> </w:t>
      </w:r>
      <w:r>
        <w:rPr>
          <w:sz w:val="24"/>
        </w:rPr>
        <w:t>in their course syllabi.</w:t>
      </w:r>
    </w:p>
    <w:p>
      <w:pPr>
        <w:pStyle w:val="BodyText"/>
        <w:spacing w:before="42"/>
      </w:pPr>
    </w:p>
    <w:p>
      <w:pPr>
        <w:pStyle w:val="BodyText"/>
        <w:spacing w:line="276" w:lineRule="auto"/>
      </w:pPr>
      <w:r>
        <w:rPr/>
        <w:t>Faculty</w:t>
      </w:r>
      <w:r>
        <w:rPr>
          <w:spacing w:val="-4"/>
        </w:rPr>
        <w:t> </w:t>
      </w:r>
      <w:r>
        <w:rPr/>
        <w:t>retain</w:t>
      </w:r>
      <w:r>
        <w:rPr>
          <w:spacing w:val="-4"/>
        </w:rPr>
        <w:t> </w:t>
      </w:r>
      <w:r>
        <w:rPr/>
        <w:t>academic</w:t>
      </w:r>
      <w:r>
        <w:rPr>
          <w:spacing w:val="-4"/>
        </w:rPr>
        <w:t> </w:t>
      </w:r>
      <w:r>
        <w:rPr/>
        <w:t>freedom</w:t>
      </w:r>
      <w:r>
        <w:rPr>
          <w:spacing w:val="-4"/>
        </w:rPr>
        <w:t> </w:t>
      </w:r>
      <w:r>
        <w:rPr/>
        <w:t>and</w:t>
      </w:r>
      <w:r>
        <w:rPr>
          <w:spacing w:val="-4"/>
        </w:rPr>
        <w:t> </w:t>
      </w:r>
      <w:r>
        <w:rPr/>
        <w:t>flexibility</w:t>
      </w:r>
      <w:r>
        <w:rPr>
          <w:spacing w:val="-4"/>
        </w:rPr>
        <w:t> </w:t>
      </w:r>
      <w:r>
        <w:rPr/>
        <w:t>in</w:t>
      </w:r>
      <w:r>
        <w:rPr>
          <w:spacing w:val="-4"/>
        </w:rPr>
        <w:t> </w:t>
      </w:r>
      <w:r>
        <w:rPr/>
        <w:t>designing</w:t>
      </w:r>
      <w:r>
        <w:rPr>
          <w:spacing w:val="-4"/>
        </w:rPr>
        <w:t> </w:t>
      </w:r>
      <w:r>
        <w:rPr/>
        <w:t>their</w:t>
      </w:r>
      <w:r>
        <w:rPr>
          <w:spacing w:val="-4"/>
        </w:rPr>
        <w:t> </w:t>
      </w:r>
      <w:r>
        <w:rPr/>
        <w:t>courses</w:t>
      </w:r>
      <w:r>
        <w:rPr>
          <w:spacing w:val="-4"/>
        </w:rPr>
        <w:t> </w:t>
      </w:r>
      <w:r>
        <w:rPr/>
        <w:t>and </w:t>
      </w:r>
      <w:r>
        <w:rPr>
          <w:spacing w:val="-2"/>
        </w:rPr>
        <w:t>assignments.</w:t>
      </w:r>
    </w:p>
    <w:p>
      <w:pPr>
        <w:pStyle w:val="BodyText"/>
        <w:spacing w:before="47"/>
      </w:pPr>
    </w:p>
    <w:p>
      <w:pPr>
        <w:pStyle w:val="BodyText"/>
        <w:spacing w:line="276" w:lineRule="auto" w:before="1"/>
        <w:ind w:right="83"/>
      </w:pPr>
      <w:r>
        <w:rPr>
          <w:u w:val="single"/>
        </w:rPr>
        <w:t>Readings</w:t>
      </w:r>
      <w:r>
        <w:rPr/>
        <w:t>: Faculty typically assign 4 or 5 articles/chapters </w:t>
      </w:r>
      <w:r>
        <w:rPr>
          <w:i/>
        </w:rPr>
        <w:t>or </w:t>
      </w:r>
      <w:r>
        <w:rPr/>
        <w:t>1 monograph book per week.</w:t>
      </w:r>
      <w:r>
        <w:rPr>
          <w:spacing w:val="-4"/>
        </w:rPr>
        <w:t> </w:t>
      </w:r>
      <w:r>
        <w:rPr/>
        <w:t>Some</w:t>
      </w:r>
      <w:r>
        <w:rPr>
          <w:spacing w:val="-3"/>
        </w:rPr>
        <w:t> </w:t>
      </w:r>
      <w:r>
        <w:rPr/>
        <w:t>faculty</w:t>
      </w:r>
      <w:r>
        <w:rPr>
          <w:spacing w:val="-3"/>
        </w:rPr>
        <w:t> </w:t>
      </w:r>
      <w:r>
        <w:rPr/>
        <w:t>assign</w:t>
      </w:r>
      <w:r>
        <w:rPr>
          <w:spacing w:val="-3"/>
        </w:rPr>
        <w:t> </w:t>
      </w:r>
      <w:r>
        <w:rPr/>
        <w:t>a</w:t>
      </w:r>
      <w:r>
        <w:rPr>
          <w:spacing w:val="-3"/>
        </w:rPr>
        <w:t> </w:t>
      </w:r>
      <w:r>
        <w:rPr/>
        <w:t>film</w:t>
      </w:r>
      <w:r>
        <w:rPr>
          <w:spacing w:val="-3"/>
        </w:rPr>
        <w:t> </w:t>
      </w:r>
      <w:r>
        <w:rPr/>
        <w:t>or</w:t>
      </w:r>
      <w:r>
        <w:rPr>
          <w:spacing w:val="-3"/>
        </w:rPr>
        <w:t> </w:t>
      </w:r>
      <w:r>
        <w:rPr/>
        <w:t>media</w:t>
      </w:r>
      <w:r>
        <w:rPr>
          <w:spacing w:val="-3"/>
        </w:rPr>
        <w:t> </w:t>
      </w:r>
      <w:r>
        <w:rPr/>
        <w:t>text</w:t>
      </w:r>
      <w:r>
        <w:rPr>
          <w:spacing w:val="-4"/>
        </w:rPr>
        <w:t> </w:t>
      </w:r>
      <w:r>
        <w:rPr/>
        <w:t>for</w:t>
      </w:r>
      <w:r>
        <w:rPr>
          <w:spacing w:val="-3"/>
        </w:rPr>
        <w:t> </w:t>
      </w:r>
      <w:r>
        <w:rPr/>
        <w:t>home</w:t>
      </w:r>
      <w:r>
        <w:rPr>
          <w:spacing w:val="-3"/>
        </w:rPr>
        <w:t> </w:t>
      </w:r>
      <w:r>
        <w:rPr/>
        <w:t>viewing,</w:t>
      </w:r>
      <w:r>
        <w:rPr>
          <w:spacing w:val="-4"/>
        </w:rPr>
        <w:t> </w:t>
      </w:r>
      <w:r>
        <w:rPr/>
        <w:t>which</w:t>
      </w:r>
      <w:r>
        <w:rPr>
          <w:spacing w:val="-3"/>
        </w:rPr>
        <w:t> </w:t>
      </w:r>
      <w:r>
        <w:rPr/>
        <w:t>may</w:t>
      </w:r>
      <w:r>
        <w:rPr>
          <w:spacing w:val="-3"/>
        </w:rPr>
        <w:t> </w:t>
      </w:r>
      <w:r>
        <w:rPr/>
        <w:t>substitute for one article/chapter. (Faculty have the option of requesting a weekly screening time for their seminars when the class is being scheduled.) Faculty are advised to communicate to students that they are expected to complete assigned readings and come to class prepared to engage them rigorously. Faculty may want to train students on reading closely and/or reading efficiently, as appropriate. Faculty should provide access to course readings a minimum of one week before they are due.</w:t>
      </w:r>
    </w:p>
    <w:p>
      <w:pPr>
        <w:pStyle w:val="BodyText"/>
        <w:spacing w:before="41"/>
      </w:pPr>
    </w:p>
    <w:p>
      <w:pPr>
        <w:pStyle w:val="BodyText"/>
        <w:spacing w:line="276" w:lineRule="auto"/>
        <w:ind w:right="83"/>
      </w:pPr>
      <w:r>
        <w:rPr>
          <w:u w:val="single"/>
        </w:rPr>
        <w:t>Assignments</w:t>
      </w:r>
      <w:r>
        <w:rPr/>
        <w:t>: Faculty typically have one major writing assignment (term paper or conference paper, project proposal, annotated bibliography, literature review, or other) and</w:t>
      </w:r>
      <w:r>
        <w:rPr>
          <w:spacing w:val="-4"/>
        </w:rPr>
        <w:t> </w:t>
      </w:r>
      <w:r>
        <w:rPr/>
        <w:t>some</w:t>
      </w:r>
      <w:r>
        <w:rPr>
          <w:spacing w:val="-4"/>
        </w:rPr>
        <w:t> </w:t>
      </w:r>
      <w:r>
        <w:rPr/>
        <w:t>smaller</w:t>
      </w:r>
      <w:r>
        <w:rPr>
          <w:spacing w:val="-4"/>
        </w:rPr>
        <w:t> </w:t>
      </w:r>
      <w:r>
        <w:rPr/>
        <w:t>assignments</w:t>
      </w:r>
      <w:r>
        <w:rPr>
          <w:spacing w:val="-4"/>
        </w:rPr>
        <w:t> </w:t>
      </w:r>
      <w:r>
        <w:rPr/>
        <w:t>due</w:t>
      </w:r>
      <w:r>
        <w:rPr>
          <w:spacing w:val="-4"/>
        </w:rPr>
        <w:t> </w:t>
      </w:r>
      <w:r>
        <w:rPr/>
        <w:t>across</w:t>
      </w:r>
      <w:r>
        <w:rPr>
          <w:spacing w:val="-4"/>
        </w:rPr>
        <w:t> </w:t>
      </w:r>
      <w:r>
        <w:rPr/>
        <w:t>the</w:t>
      </w:r>
      <w:r>
        <w:rPr>
          <w:spacing w:val="-4"/>
        </w:rPr>
        <w:t> </w:t>
      </w:r>
      <w:r>
        <w:rPr/>
        <w:t>term</w:t>
      </w:r>
      <w:r>
        <w:rPr>
          <w:spacing w:val="-4"/>
        </w:rPr>
        <w:t> </w:t>
      </w:r>
      <w:r>
        <w:rPr/>
        <w:t>(such</w:t>
      </w:r>
      <w:r>
        <w:rPr>
          <w:spacing w:val="-4"/>
        </w:rPr>
        <w:t> </w:t>
      </w:r>
      <w:r>
        <w:rPr/>
        <w:t>as</w:t>
      </w:r>
      <w:r>
        <w:rPr>
          <w:spacing w:val="-4"/>
        </w:rPr>
        <w:t> </w:t>
      </w:r>
      <w:r>
        <w:rPr/>
        <w:t>weekly</w:t>
      </w:r>
      <w:r>
        <w:rPr>
          <w:spacing w:val="-4"/>
        </w:rPr>
        <w:t> </w:t>
      </w:r>
      <w:r>
        <w:rPr/>
        <w:t>reading</w:t>
      </w:r>
      <w:r>
        <w:rPr>
          <w:spacing w:val="-4"/>
        </w:rPr>
        <w:t> </w:t>
      </w:r>
      <w:r>
        <w:rPr/>
        <w:t>response, weekly illustrative clip/analysis, building-block small writing assignments such as an abstract, precis, book review, proposal, or presentation). There is flexibility in the number and type of assignments, including creative assignments, but overall course workload should remain reasonable.</w:t>
      </w:r>
    </w:p>
    <w:p>
      <w:pPr>
        <w:pStyle w:val="BodyText"/>
        <w:spacing w:before="42"/>
      </w:pPr>
    </w:p>
    <w:p>
      <w:pPr>
        <w:pStyle w:val="BodyText"/>
        <w:spacing w:line="276" w:lineRule="auto"/>
      </w:pPr>
      <w:r>
        <w:rPr/>
        <w:t>Faculty</w:t>
      </w:r>
      <w:r>
        <w:rPr>
          <w:spacing w:val="-3"/>
        </w:rPr>
        <w:t> </w:t>
      </w:r>
      <w:r>
        <w:rPr/>
        <w:t>are</w:t>
      </w:r>
      <w:r>
        <w:rPr>
          <w:spacing w:val="-3"/>
        </w:rPr>
        <w:t> </w:t>
      </w:r>
      <w:r>
        <w:rPr/>
        <w:t>advised</w:t>
      </w:r>
      <w:r>
        <w:rPr>
          <w:spacing w:val="-3"/>
        </w:rPr>
        <w:t> </w:t>
      </w:r>
      <w:r>
        <w:rPr/>
        <w:t>to</w:t>
      </w:r>
      <w:r>
        <w:rPr>
          <w:spacing w:val="-3"/>
        </w:rPr>
        <w:t> </w:t>
      </w:r>
      <w:r>
        <w:rPr/>
        <w:t>communicate</w:t>
      </w:r>
      <w:r>
        <w:rPr>
          <w:spacing w:val="-3"/>
        </w:rPr>
        <w:t> </w:t>
      </w:r>
      <w:r>
        <w:rPr/>
        <w:t>a</w:t>
      </w:r>
      <w:r>
        <w:rPr>
          <w:spacing w:val="-3"/>
        </w:rPr>
        <w:t> </w:t>
      </w:r>
      <w:r>
        <w:rPr/>
        <w:t>clear</w:t>
      </w:r>
      <w:r>
        <w:rPr>
          <w:spacing w:val="-3"/>
        </w:rPr>
        <w:t> </w:t>
      </w:r>
      <w:r>
        <w:rPr/>
        <w:t>Generative</w:t>
      </w:r>
      <w:r>
        <w:rPr>
          <w:spacing w:val="-3"/>
        </w:rPr>
        <w:t> </w:t>
      </w:r>
      <w:r>
        <w:rPr/>
        <w:t>AI</w:t>
      </w:r>
      <w:r>
        <w:rPr>
          <w:spacing w:val="-4"/>
        </w:rPr>
        <w:t> </w:t>
      </w:r>
      <w:r>
        <w:rPr/>
        <w:t>usage</w:t>
      </w:r>
      <w:r>
        <w:rPr>
          <w:spacing w:val="-3"/>
        </w:rPr>
        <w:t> </w:t>
      </w:r>
      <w:r>
        <w:rPr/>
        <w:t>policy</w:t>
      </w:r>
      <w:r>
        <w:rPr>
          <w:spacing w:val="-3"/>
        </w:rPr>
        <w:t> </w:t>
      </w:r>
      <w:r>
        <w:rPr/>
        <w:t>in</w:t>
      </w:r>
      <w:r>
        <w:rPr>
          <w:spacing w:val="-3"/>
        </w:rPr>
        <w:t> </w:t>
      </w:r>
      <w:r>
        <w:rPr/>
        <w:t>the</w:t>
      </w:r>
      <w:r>
        <w:rPr>
          <w:spacing w:val="-3"/>
        </w:rPr>
        <w:t> </w:t>
      </w:r>
      <w:r>
        <w:rPr/>
        <w:t>course </w:t>
      </w:r>
      <w:r>
        <w:rPr>
          <w:spacing w:val="-2"/>
        </w:rPr>
        <w:t>syllabus.</w:t>
      </w:r>
    </w:p>
    <w:p>
      <w:pPr>
        <w:pStyle w:val="BodyText"/>
        <w:spacing w:before="42"/>
      </w:pPr>
    </w:p>
    <w:p>
      <w:pPr>
        <w:pStyle w:val="BodyText"/>
        <w:spacing w:before="1"/>
      </w:pPr>
      <w:r>
        <w:rPr/>
        <w:t>Faculty</w:t>
      </w:r>
      <w:r>
        <w:rPr>
          <w:spacing w:val="-4"/>
        </w:rPr>
        <w:t> </w:t>
      </w:r>
      <w:r>
        <w:rPr/>
        <w:t>are</w:t>
      </w:r>
      <w:r>
        <w:rPr>
          <w:spacing w:val="-1"/>
        </w:rPr>
        <w:t> </w:t>
      </w:r>
      <w:r>
        <w:rPr/>
        <w:t>advised</w:t>
      </w:r>
      <w:r>
        <w:rPr>
          <w:spacing w:val="-1"/>
        </w:rPr>
        <w:t> </w:t>
      </w:r>
      <w:r>
        <w:rPr/>
        <w:t>to</w:t>
      </w:r>
      <w:r>
        <w:rPr>
          <w:spacing w:val="-1"/>
        </w:rPr>
        <w:t> </w:t>
      </w:r>
      <w:r>
        <w:rPr/>
        <w:t>encourage</w:t>
      </w:r>
      <w:r>
        <w:rPr>
          <w:spacing w:val="-1"/>
        </w:rPr>
        <w:t> </w:t>
      </w:r>
      <w:r>
        <w:rPr/>
        <w:t>students</w:t>
      </w:r>
      <w:r>
        <w:rPr>
          <w:spacing w:val="-1"/>
        </w:rPr>
        <w:t> </w:t>
      </w:r>
      <w:r>
        <w:rPr/>
        <w:t>to</w:t>
      </w:r>
      <w:r>
        <w:rPr>
          <w:spacing w:val="-1"/>
        </w:rPr>
        <w:t> </w:t>
      </w:r>
      <w:r>
        <w:rPr/>
        <w:t>complete</w:t>
      </w:r>
      <w:r>
        <w:rPr>
          <w:spacing w:val="-1"/>
        </w:rPr>
        <w:t> </w:t>
      </w:r>
      <w:r>
        <w:rPr/>
        <w:t>online</w:t>
      </w:r>
      <w:r>
        <w:rPr>
          <w:spacing w:val="-1"/>
        </w:rPr>
        <w:t> </w:t>
      </w:r>
      <w:r>
        <w:rPr/>
        <w:t>course</w:t>
      </w:r>
      <w:r>
        <w:rPr>
          <w:spacing w:val="-1"/>
        </w:rPr>
        <w:t> </w:t>
      </w:r>
      <w:r>
        <w:rPr>
          <w:spacing w:val="-2"/>
        </w:rPr>
        <w:t>evaluations.</w:t>
      </w:r>
    </w:p>
    <w:p>
      <w:pPr>
        <w:pStyle w:val="BodyText"/>
        <w:spacing w:before="85"/>
      </w:pPr>
    </w:p>
    <w:p>
      <w:pPr>
        <w:pStyle w:val="Heading1"/>
        <w:spacing w:before="1"/>
      </w:pPr>
      <w:r>
        <w:rPr/>
        <w:t>In-class </w:t>
      </w:r>
      <w:r>
        <w:rPr>
          <w:spacing w:val="-2"/>
        </w:rPr>
        <w:t>Discussions</w:t>
      </w:r>
    </w:p>
    <w:p>
      <w:pPr>
        <w:pStyle w:val="Heading1"/>
        <w:spacing w:after="0"/>
        <w:sectPr>
          <w:footerReference w:type="default" r:id="rId5"/>
          <w:type w:val="continuous"/>
          <w:pgSz w:w="12240" w:h="15840"/>
          <w:pgMar w:header="0" w:footer="806" w:top="1420" w:bottom="1000" w:left="1440" w:right="1440"/>
          <w:pgNumType w:start="1"/>
        </w:sectPr>
      </w:pPr>
    </w:p>
    <w:p>
      <w:pPr>
        <w:pStyle w:val="BodyText"/>
        <w:spacing w:line="276" w:lineRule="auto" w:before="22"/>
        <w:ind w:right="83"/>
      </w:pPr>
      <w:r>
        <w:rPr/>
        <w:t>Faculty</w:t>
      </w:r>
      <w:r>
        <w:rPr>
          <w:spacing w:val="-4"/>
        </w:rPr>
        <w:t> </w:t>
      </w:r>
      <w:r>
        <w:rPr/>
        <w:t>are</w:t>
      </w:r>
      <w:r>
        <w:rPr>
          <w:spacing w:val="-4"/>
        </w:rPr>
        <w:t> </w:t>
      </w:r>
      <w:r>
        <w:rPr/>
        <w:t>advised</w:t>
      </w:r>
      <w:r>
        <w:rPr>
          <w:spacing w:val="-4"/>
        </w:rPr>
        <w:t> </w:t>
      </w:r>
      <w:r>
        <w:rPr/>
        <w:t>to</w:t>
      </w:r>
      <w:r>
        <w:rPr>
          <w:spacing w:val="-4"/>
        </w:rPr>
        <w:t> </w:t>
      </w:r>
      <w:r>
        <w:rPr/>
        <w:t>guide</w:t>
      </w:r>
      <w:r>
        <w:rPr>
          <w:spacing w:val="-4"/>
        </w:rPr>
        <w:t> </w:t>
      </w:r>
      <w:r>
        <w:rPr/>
        <w:t>class</w:t>
      </w:r>
      <w:r>
        <w:rPr>
          <w:spacing w:val="-4"/>
        </w:rPr>
        <w:t> </w:t>
      </w:r>
      <w:r>
        <w:rPr/>
        <w:t>discussions</w:t>
      </w:r>
      <w:r>
        <w:rPr>
          <w:spacing w:val="-4"/>
        </w:rPr>
        <w:t> </w:t>
      </w:r>
      <w:r>
        <w:rPr/>
        <w:t>and</w:t>
      </w:r>
      <w:r>
        <w:rPr>
          <w:spacing w:val="-4"/>
        </w:rPr>
        <w:t> </w:t>
      </w:r>
      <w:r>
        <w:rPr/>
        <w:t>to</w:t>
      </w:r>
      <w:r>
        <w:rPr>
          <w:spacing w:val="-4"/>
        </w:rPr>
        <w:t> </w:t>
      </w:r>
      <w:r>
        <w:rPr/>
        <w:t>offer</w:t>
      </w:r>
      <w:r>
        <w:rPr>
          <w:spacing w:val="-4"/>
        </w:rPr>
        <w:t> </w:t>
      </w:r>
      <w:r>
        <w:rPr/>
        <w:t>prefatory</w:t>
      </w:r>
      <w:r>
        <w:rPr>
          <w:spacing w:val="-4"/>
        </w:rPr>
        <w:t> </w:t>
      </w:r>
      <w:r>
        <w:rPr/>
        <w:t>context</w:t>
      </w:r>
      <w:r>
        <w:rPr>
          <w:spacing w:val="-5"/>
        </w:rPr>
        <w:t> </w:t>
      </w:r>
      <w:r>
        <w:rPr/>
        <w:t>where relevant; students cannot be assumed to have prior knowledge of disciplinary intellectual history, of disciplinary norms, nor of authors and texts assigned.</w:t>
      </w:r>
    </w:p>
    <w:p>
      <w:pPr>
        <w:pStyle w:val="BodyText"/>
        <w:spacing w:before="42"/>
      </w:pPr>
    </w:p>
    <w:p>
      <w:pPr>
        <w:pStyle w:val="BodyText"/>
        <w:spacing w:line="276" w:lineRule="auto"/>
        <w:ind w:right="85"/>
        <w:jc w:val="both"/>
      </w:pPr>
      <w:r>
        <w:rPr/>
        <w:t>Faculty</w:t>
      </w:r>
      <w:r>
        <w:rPr>
          <w:spacing w:val="-3"/>
        </w:rPr>
        <w:t> </w:t>
      </w:r>
      <w:r>
        <w:rPr/>
        <w:t>should</w:t>
      </w:r>
      <w:r>
        <w:rPr>
          <w:spacing w:val="-3"/>
        </w:rPr>
        <w:t> </w:t>
      </w:r>
      <w:r>
        <w:rPr/>
        <w:t>communicate</w:t>
      </w:r>
      <w:r>
        <w:rPr>
          <w:spacing w:val="-3"/>
        </w:rPr>
        <w:t> </w:t>
      </w:r>
      <w:r>
        <w:rPr/>
        <w:t>expectations</w:t>
      </w:r>
      <w:r>
        <w:rPr>
          <w:spacing w:val="-3"/>
        </w:rPr>
        <w:t> </w:t>
      </w:r>
      <w:r>
        <w:rPr/>
        <w:t>for</w:t>
      </w:r>
      <w:r>
        <w:rPr>
          <w:spacing w:val="-3"/>
        </w:rPr>
        <w:t> </w:t>
      </w:r>
      <w:r>
        <w:rPr/>
        <w:t>discussion</w:t>
      </w:r>
      <w:r>
        <w:rPr>
          <w:spacing w:val="-3"/>
        </w:rPr>
        <w:t> </w:t>
      </w:r>
      <w:r>
        <w:rPr/>
        <w:t>and</w:t>
      </w:r>
      <w:r>
        <w:rPr>
          <w:spacing w:val="-3"/>
        </w:rPr>
        <w:t> </w:t>
      </w:r>
      <w:r>
        <w:rPr/>
        <w:t>participation</w:t>
      </w:r>
      <w:r>
        <w:rPr>
          <w:spacing w:val="-3"/>
        </w:rPr>
        <w:t> </w:t>
      </w:r>
      <w:r>
        <w:rPr/>
        <w:t>in</w:t>
      </w:r>
      <w:r>
        <w:rPr>
          <w:spacing w:val="-3"/>
        </w:rPr>
        <w:t> </w:t>
      </w:r>
      <w:r>
        <w:rPr/>
        <w:t>the</w:t>
      </w:r>
      <w:r>
        <w:rPr>
          <w:spacing w:val="-3"/>
        </w:rPr>
        <w:t> </w:t>
      </w:r>
      <w:r>
        <w:rPr/>
        <w:t>course syllabus</w:t>
      </w:r>
      <w:r>
        <w:rPr>
          <w:spacing w:val="-3"/>
        </w:rPr>
        <w:t> </w:t>
      </w:r>
      <w:r>
        <w:rPr/>
        <w:t>and</w:t>
      </w:r>
      <w:r>
        <w:rPr>
          <w:spacing w:val="-3"/>
        </w:rPr>
        <w:t> </w:t>
      </w:r>
      <w:r>
        <w:rPr/>
        <w:t>in</w:t>
      </w:r>
      <w:r>
        <w:rPr>
          <w:spacing w:val="-3"/>
        </w:rPr>
        <w:t> </w:t>
      </w:r>
      <w:r>
        <w:rPr/>
        <w:t>class</w:t>
      </w:r>
      <w:r>
        <w:rPr>
          <w:spacing w:val="-3"/>
        </w:rPr>
        <w:t> </w:t>
      </w:r>
      <w:r>
        <w:rPr/>
        <w:t>at</w:t>
      </w:r>
      <w:r>
        <w:rPr>
          <w:spacing w:val="-4"/>
        </w:rPr>
        <w:t> </w:t>
      </w:r>
      <w:r>
        <w:rPr/>
        <w:t>the</w:t>
      </w:r>
      <w:r>
        <w:rPr>
          <w:spacing w:val="-3"/>
        </w:rPr>
        <w:t> </w:t>
      </w:r>
      <w:r>
        <w:rPr/>
        <w:t>beginning</w:t>
      </w:r>
      <w:r>
        <w:rPr>
          <w:spacing w:val="-3"/>
        </w:rPr>
        <w:t> </w:t>
      </w:r>
      <w:r>
        <w:rPr/>
        <w:t>of</w:t>
      </w:r>
      <w:r>
        <w:rPr>
          <w:spacing w:val="-4"/>
        </w:rPr>
        <w:t> </w:t>
      </w:r>
      <w:r>
        <w:rPr/>
        <w:t>the</w:t>
      </w:r>
      <w:r>
        <w:rPr>
          <w:spacing w:val="-3"/>
        </w:rPr>
        <w:t> </w:t>
      </w:r>
      <w:r>
        <w:rPr/>
        <w:t>term.</w:t>
      </w:r>
      <w:r>
        <w:rPr>
          <w:spacing w:val="-4"/>
        </w:rPr>
        <w:t> </w:t>
      </w:r>
      <w:r>
        <w:rPr/>
        <w:t>This</w:t>
      </w:r>
      <w:r>
        <w:rPr>
          <w:spacing w:val="-3"/>
        </w:rPr>
        <w:t> </w:t>
      </w:r>
      <w:r>
        <w:rPr/>
        <w:t>includes</w:t>
      </w:r>
      <w:r>
        <w:rPr>
          <w:spacing w:val="-3"/>
        </w:rPr>
        <w:t> </w:t>
      </w:r>
      <w:r>
        <w:rPr/>
        <w:t>the</w:t>
      </w:r>
      <w:r>
        <w:rPr>
          <w:spacing w:val="-3"/>
        </w:rPr>
        <w:t> </w:t>
      </w:r>
      <w:r>
        <w:rPr/>
        <w:t>expectation</w:t>
      </w:r>
      <w:r>
        <w:rPr>
          <w:spacing w:val="-3"/>
        </w:rPr>
        <w:t> </w:t>
      </w:r>
      <w:r>
        <w:rPr/>
        <w:t>to</w:t>
      </w:r>
      <w:r>
        <w:rPr>
          <w:spacing w:val="-3"/>
        </w:rPr>
        <w:t> </w:t>
      </w:r>
      <w:r>
        <w:rPr/>
        <w:t>have completed the assigned reading and being ready to discuss it substantively.</w:t>
      </w:r>
    </w:p>
    <w:p>
      <w:pPr>
        <w:pStyle w:val="BodyText"/>
        <w:spacing w:line="276" w:lineRule="auto"/>
        <w:ind w:right="28"/>
      </w:pPr>
      <w:r>
        <w:rPr/>
        <w:t>Expectations can include advising students that critiques should take into account what an author is doing and what methods are engaged rather than de facto dismissal for what it is </w:t>
      </w:r>
      <w:r>
        <w:rPr>
          <w:i/>
        </w:rPr>
        <w:t>not </w:t>
      </w:r>
      <w:r>
        <w:rPr/>
        <w:t>doing or the author’s identity categories. (For instance, if a student attempts to shut</w:t>
      </w:r>
      <w:r>
        <w:rPr>
          <w:spacing w:val="-1"/>
        </w:rPr>
        <w:t> </w:t>
      </w:r>
      <w:r>
        <w:rPr/>
        <w:t>down discussion because a reading does not</w:t>
      </w:r>
      <w:r>
        <w:rPr>
          <w:spacing w:val="-1"/>
        </w:rPr>
        <w:t> </w:t>
      </w:r>
      <w:r>
        <w:rPr/>
        <w:t>think about </w:t>
      </w:r>
      <w:r>
        <w:rPr>
          <w:i/>
        </w:rPr>
        <w:t>x</w:t>
      </w:r>
      <w:r>
        <w:rPr/>
        <w:t>,</w:t>
      </w:r>
      <w:r>
        <w:rPr>
          <w:spacing w:val="-1"/>
        </w:rPr>
        <w:t> </w:t>
      </w:r>
      <w:r>
        <w:rPr/>
        <w:t>encourage a reframing, such as </w:t>
      </w:r>
      <w:r>
        <w:rPr>
          <w:i/>
        </w:rPr>
        <w:t>how would it change the work if it did think about x</w:t>
      </w:r>
      <w:r>
        <w:rPr/>
        <w:t>?) Expectations can</w:t>
      </w:r>
      <w:r>
        <w:rPr>
          <w:spacing w:val="-3"/>
        </w:rPr>
        <w:t> </w:t>
      </w:r>
      <w:r>
        <w:rPr/>
        <w:t>also</w:t>
      </w:r>
      <w:r>
        <w:rPr>
          <w:spacing w:val="-3"/>
        </w:rPr>
        <w:t> </w:t>
      </w:r>
      <w:r>
        <w:rPr/>
        <w:t>include</w:t>
      </w:r>
      <w:r>
        <w:rPr>
          <w:spacing w:val="-3"/>
        </w:rPr>
        <w:t> </w:t>
      </w:r>
      <w:r>
        <w:rPr/>
        <w:t>emphasizing</w:t>
      </w:r>
      <w:r>
        <w:rPr>
          <w:spacing w:val="-3"/>
        </w:rPr>
        <w:t> </w:t>
      </w:r>
      <w:r>
        <w:rPr/>
        <w:t>the</w:t>
      </w:r>
      <w:r>
        <w:rPr>
          <w:spacing w:val="-3"/>
        </w:rPr>
        <w:t> </w:t>
      </w:r>
      <w:r>
        <w:rPr/>
        <w:t>importance</w:t>
      </w:r>
      <w:r>
        <w:rPr>
          <w:spacing w:val="-3"/>
        </w:rPr>
        <w:t> </w:t>
      </w:r>
      <w:r>
        <w:rPr/>
        <w:t>of</w:t>
      </w:r>
      <w:r>
        <w:rPr>
          <w:spacing w:val="-4"/>
        </w:rPr>
        <w:t> </w:t>
      </w:r>
      <w:r>
        <w:rPr/>
        <w:t>focusing</w:t>
      </w:r>
      <w:r>
        <w:rPr>
          <w:spacing w:val="-3"/>
        </w:rPr>
        <w:t> </w:t>
      </w:r>
      <w:r>
        <w:rPr/>
        <w:t>on</w:t>
      </w:r>
      <w:r>
        <w:rPr>
          <w:spacing w:val="-3"/>
        </w:rPr>
        <w:t> </w:t>
      </w:r>
      <w:r>
        <w:rPr/>
        <w:t>the</w:t>
      </w:r>
      <w:r>
        <w:rPr>
          <w:spacing w:val="-3"/>
        </w:rPr>
        <w:t> </w:t>
      </w:r>
      <w:r>
        <w:rPr/>
        <w:t>text</w:t>
      </w:r>
      <w:r>
        <w:rPr>
          <w:spacing w:val="-4"/>
        </w:rPr>
        <w:t> </w:t>
      </w:r>
      <w:r>
        <w:rPr/>
        <w:t>at</w:t>
      </w:r>
      <w:r>
        <w:rPr>
          <w:spacing w:val="-4"/>
        </w:rPr>
        <w:t> </w:t>
      </w:r>
      <w:r>
        <w:rPr/>
        <w:t>hand</w:t>
      </w:r>
      <w:r>
        <w:rPr>
          <w:spacing w:val="-3"/>
        </w:rPr>
        <w:t> </w:t>
      </w:r>
      <w:r>
        <w:rPr/>
        <w:t>rather</w:t>
      </w:r>
      <w:r>
        <w:rPr>
          <w:spacing w:val="-3"/>
        </w:rPr>
        <w:t> </w:t>
      </w:r>
      <w:r>
        <w:rPr/>
        <w:t>than deflecting or detouring away from course readings.</w:t>
      </w:r>
    </w:p>
    <w:p>
      <w:pPr>
        <w:pStyle w:val="BodyText"/>
        <w:spacing w:before="46"/>
      </w:pPr>
    </w:p>
    <w:p>
      <w:pPr>
        <w:pStyle w:val="BodyText"/>
        <w:spacing w:line="276" w:lineRule="auto"/>
      </w:pPr>
      <w:r>
        <w:rPr/>
        <w:t>Faculty</w:t>
      </w:r>
      <w:r>
        <w:rPr>
          <w:spacing w:val="-4"/>
        </w:rPr>
        <w:t> </w:t>
      </w:r>
      <w:r>
        <w:rPr/>
        <w:t>may</w:t>
      </w:r>
      <w:r>
        <w:rPr>
          <w:spacing w:val="-4"/>
        </w:rPr>
        <w:t> </w:t>
      </w:r>
      <w:r>
        <w:rPr/>
        <w:t>take</w:t>
      </w:r>
      <w:r>
        <w:rPr>
          <w:spacing w:val="-4"/>
        </w:rPr>
        <w:t> </w:t>
      </w:r>
      <w:r>
        <w:rPr/>
        <w:t>qualitative</w:t>
      </w:r>
      <w:r>
        <w:rPr>
          <w:spacing w:val="-4"/>
        </w:rPr>
        <w:t> </w:t>
      </w:r>
      <w:r>
        <w:rPr/>
        <w:t>grade</w:t>
      </w:r>
      <w:r>
        <w:rPr>
          <w:spacing w:val="-4"/>
        </w:rPr>
        <w:t> </w:t>
      </w:r>
      <w:r>
        <w:rPr/>
        <w:t>deductions</w:t>
      </w:r>
      <w:r>
        <w:rPr>
          <w:spacing w:val="-4"/>
        </w:rPr>
        <w:t> </w:t>
      </w:r>
      <w:r>
        <w:rPr/>
        <w:t>for</w:t>
      </w:r>
      <w:r>
        <w:rPr>
          <w:spacing w:val="-4"/>
        </w:rPr>
        <w:t> </w:t>
      </w:r>
      <w:r>
        <w:rPr/>
        <w:t>student</w:t>
      </w:r>
      <w:r>
        <w:rPr>
          <w:spacing w:val="-5"/>
        </w:rPr>
        <w:t> </w:t>
      </w:r>
      <w:r>
        <w:rPr/>
        <w:t>participation</w:t>
      </w:r>
      <w:r>
        <w:rPr>
          <w:spacing w:val="-4"/>
        </w:rPr>
        <w:t> </w:t>
      </w:r>
      <w:r>
        <w:rPr/>
        <w:t>grades</w:t>
      </w:r>
      <w:r>
        <w:rPr>
          <w:spacing w:val="-4"/>
        </w:rPr>
        <w:t> </w:t>
      </w:r>
      <w:r>
        <w:rPr/>
        <w:t>on</w:t>
      </w:r>
      <w:r>
        <w:rPr>
          <w:spacing w:val="-4"/>
        </w:rPr>
        <w:t> </w:t>
      </w:r>
      <w:r>
        <w:rPr/>
        <w:t>the basis of unsatisfactory or disruptive contributions to class discussions.</w:t>
      </w:r>
    </w:p>
    <w:p>
      <w:pPr>
        <w:pStyle w:val="BodyText"/>
        <w:spacing w:before="43"/>
      </w:pPr>
    </w:p>
    <w:p>
      <w:pPr>
        <w:pStyle w:val="Heading1"/>
        <w:jc w:val="both"/>
      </w:pPr>
      <w:r>
        <w:rPr/>
        <w:t>Grades and</w:t>
      </w:r>
      <w:r>
        <w:rPr>
          <w:spacing w:val="-1"/>
        </w:rPr>
        <w:t> </w:t>
      </w:r>
      <w:r>
        <w:rPr>
          <w:spacing w:val="-2"/>
        </w:rPr>
        <w:t>Incompletes</w:t>
      </w:r>
    </w:p>
    <w:p>
      <w:pPr>
        <w:pStyle w:val="BodyText"/>
        <w:spacing w:before="86"/>
        <w:rPr>
          <w:b/>
        </w:rPr>
      </w:pPr>
    </w:p>
    <w:p>
      <w:pPr>
        <w:pStyle w:val="BodyText"/>
        <w:spacing w:line="276" w:lineRule="auto"/>
        <w:ind w:right="83"/>
      </w:pPr>
      <w:r>
        <w:rPr/>
        <w:t>Faculty</w:t>
      </w:r>
      <w:r>
        <w:rPr>
          <w:spacing w:val="-4"/>
        </w:rPr>
        <w:t> </w:t>
      </w:r>
      <w:r>
        <w:rPr/>
        <w:t>are</w:t>
      </w:r>
      <w:r>
        <w:rPr>
          <w:spacing w:val="-4"/>
        </w:rPr>
        <w:t> </w:t>
      </w:r>
      <w:r>
        <w:rPr/>
        <w:t>advised</w:t>
      </w:r>
      <w:r>
        <w:rPr>
          <w:spacing w:val="-4"/>
        </w:rPr>
        <w:t> </w:t>
      </w:r>
      <w:r>
        <w:rPr/>
        <w:t>to</w:t>
      </w:r>
      <w:r>
        <w:rPr>
          <w:spacing w:val="-4"/>
        </w:rPr>
        <w:t> </w:t>
      </w:r>
      <w:r>
        <w:rPr/>
        <w:t>communicate</w:t>
      </w:r>
      <w:r>
        <w:rPr>
          <w:spacing w:val="-4"/>
        </w:rPr>
        <w:t> </w:t>
      </w:r>
      <w:r>
        <w:rPr/>
        <w:t>the</w:t>
      </w:r>
      <w:r>
        <w:rPr>
          <w:spacing w:val="-4"/>
        </w:rPr>
        <w:t> </w:t>
      </w:r>
      <w:r>
        <w:rPr/>
        <w:t>expectations</w:t>
      </w:r>
      <w:r>
        <w:rPr>
          <w:spacing w:val="-4"/>
        </w:rPr>
        <w:t> </w:t>
      </w:r>
      <w:r>
        <w:rPr/>
        <w:t>and</w:t>
      </w:r>
      <w:r>
        <w:rPr>
          <w:spacing w:val="-4"/>
        </w:rPr>
        <w:t> </w:t>
      </w:r>
      <w:r>
        <w:rPr/>
        <w:t>meaning</w:t>
      </w:r>
      <w:r>
        <w:rPr>
          <w:spacing w:val="-4"/>
        </w:rPr>
        <w:t> </w:t>
      </w:r>
      <w:r>
        <w:rPr/>
        <w:t>of</w:t>
      </w:r>
      <w:r>
        <w:rPr>
          <w:spacing w:val="-5"/>
        </w:rPr>
        <w:t> </w:t>
      </w:r>
      <w:r>
        <w:rPr/>
        <w:t>letter</w:t>
      </w:r>
      <w:r>
        <w:rPr>
          <w:spacing w:val="-4"/>
        </w:rPr>
        <w:t> </w:t>
      </w:r>
      <w:r>
        <w:rPr/>
        <w:t>grades</w:t>
      </w:r>
      <w:r>
        <w:rPr>
          <w:spacing w:val="-4"/>
        </w:rPr>
        <w:t> </w:t>
      </w:r>
      <w:r>
        <w:rPr/>
        <w:t>in the course syllabus: A+, A, A-, B+, B and below.</w:t>
      </w:r>
    </w:p>
    <w:p>
      <w:pPr>
        <w:pStyle w:val="BodyText"/>
        <w:spacing w:before="43"/>
      </w:pPr>
    </w:p>
    <w:p>
      <w:pPr>
        <w:pStyle w:val="BodyText"/>
        <w:spacing w:line="276" w:lineRule="auto"/>
      </w:pPr>
      <w:r>
        <w:rPr/>
        <w:t>Faculty</w:t>
      </w:r>
      <w:r>
        <w:rPr>
          <w:spacing w:val="-4"/>
        </w:rPr>
        <w:t> </w:t>
      </w:r>
      <w:r>
        <w:rPr/>
        <w:t>are</w:t>
      </w:r>
      <w:r>
        <w:rPr>
          <w:spacing w:val="-4"/>
        </w:rPr>
        <w:t> </w:t>
      </w:r>
      <w:r>
        <w:rPr/>
        <w:t>advised</w:t>
      </w:r>
      <w:r>
        <w:rPr>
          <w:spacing w:val="-4"/>
        </w:rPr>
        <w:t> </w:t>
      </w:r>
      <w:r>
        <w:rPr/>
        <w:t>to</w:t>
      </w:r>
      <w:r>
        <w:rPr>
          <w:spacing w:val="-4"/>
        </w:rPr>
        <w:t> </w:t>
      </w:r>
      <w:r>
        <w:rPr/>
        <w:t>communicate</w:t>
      </w:r>
      <w:r>
        <w:rPr>
          <w:spacing w:val="-4"/>
        </w:rPr>
        <w:t> </w:t>
      </w:r>
      <w:r>
        <w:rPr/>
        <w:t>clear</w:t>
      </w:r>
      <w:r>
        <w:rPr>
          <w:spacing w:val="-4"/>
        </w:rPr>
        <w:t> </w:t>
      </w:r>
      <w:r>
        <w:rPr/>
        <w:t>grading</w:t>
      </w:r>
      <w:r>
        <w:rPr>
          <w:spacing w:val="-4"/>
        </w:rPr>
        <w:t> </w:t>
      </w:r>
      <w:r>
        <w:rPr/>
        <w:t>criteria,</w:t>
      </w:r>
      <w:r>
        <w:rPr>
          <w:spacing w:val="-5"/>
        </w:rPr>
        <w:t> </w:t>
      </w:r>
      <w:r>
        <w:rPr/>
        <w:t>including</w:t>
      </w:r>
      <w:r>
        <w:rPr>
          <w:spacing w:val="-4"/>
        </w:rPr>
        <w:t> </w:t>
      </w:r>
      <w:r>
        <w:rPr/>
        <w:t>each</w:t>
      </w:r>
      <w:r>
        <w:rPr>
          <w:spacing w:val="-4"/>
        </w:rPr>
        <w:t> </w:t>
      </w:r>
      <w:r>
        <w:rPr/>
        <w:t>assignment’s proportionate weight in determining final grades, in the course syllabus. Faculty may want to use rubrics in gradings assignments for grading transparency.</w:t>
      </w:r>
    </w:p>
    <w:p>
      <w:pPr>
        <w:pStyle w:val="BodyText"/>
        <w:spacing w:before="42"/>
      </w:pPr>
    </w:p>
    <w:p>
      <w:pPr>
        <w:pStyle w:val="BodyText"/>
        <w:spacing w:line="276" w:lineRule="auto"/>
        <w:ind w:right="83"/>
      </w:pPr>
      <w:r>
        <w:rPr/>
        <w:t>Faculty are advised to give feedback to students during the run of the course, prior to the deadline for the final assignment. This will most often happen via feedback and grades on smaller assignments in advance of the final assignment. It may also include written</w:t>
      </w:r>
      <w:r>
        <w:rPr>
          <w:spacing w:val="-5"/>
        </w:rPr>
        <w:t> </w:t>
      </w:r>
      <w:r>
        <w:rPr/>
        <w:t>assessments</w:t>
      </w:r>
      <w:r>
        <w:rPr>
          <w:spacing w:val="-5"/>
        </w:rPr>
        <w:t> </w:t>
      </w:r>
      <w:r>
        <w:rPr/>
        <w:t>and/or</w:t>
      </w:r>
      <w:r>
        <w:rPr>
          <w:spacing w:val="-5"/>
        </w:rPr>
        <w:t> </w:t>
      </w:r>
      <w:r>
        <w:rPr/>
        <w:t>one-on-one</w:t>
      </w:r>
      <w:r>
        <w:rPr>
          <w:spacing w:val="-5"/>
        </w:rPr>
        <w:t> </w:t>
      </w:r>
      <w:r>
        <w:rPr/>
        <w:t>meetings</w:t>
      </w:r>
      <w:r>
        <w:rPr>
          <w:spacing w:val="-5"/>
        </w:rPr>
        <w:t> </w:t>
      </w:r>
      <w:r>
        <w:rPr/>
        <w:t>to</w:t>
      </w:r>
      <w:r>
        <w:rPr>
          <w:spacing w:val="-6"/>
        </w:rPr>
        <w:t> </w:t>
      </w:r>
      <w:r>
        <w:rPr/>
        <w:t>proactively</w:t>
      </w:r>
      <w:r>
        <w:rPr>
          <w:spacing w:val="-6"/>
        </w:rPr>
        <w:t> </w:t>
      </w:r>
      <w:r>
        <w:rPr/>
        <w:t>communicate</w:t>
      </w:r>
      <w:r>
        <w:rPr>
          <w:spacing w:val="-5"/>
        </w:rPr>
        <w:t> </w:t>
      </w:r>
      <w:r>
        <w:rPr/>
        <w:t>feedback and any concerns.</w:t>
      </w:r>
    </w:p>
    <w:p>
      <w:pPr>
        <w:pStyle w:val="BodyText"/>
        <w:spacing w:before="42"/>
      </w:pPr>
    </w:p>
    <w:p>
      <w:pPr>
        <w:pStyle w:val="BodyText"/>
        <w:spacing w:line="276" w:lineRule="auto"/>
      </w:pPr>
      <w:r>
        <w:rPr/>
        <w:t>Faculty</w:t>
      </w:r>
      <w:r>
        <w:rPr>
          <w:spacing w:val="-3"/>
        </w:rPr>
        <w:t> </w:t>
      </w:r>
      <w:r>
        <w:rPr/>
        <w:t>are</w:t>
      </w:r>
      <w:r>
        <w:rPr>
          <w:spacing w:val="-3"/>
        </w:rPr>
        <w:t> </w:t>
      </w:r>
      <w:r>
        <w:rPr/>
        <w:t>advised</w:t>
      </w:r>
      <w:r>
        <w:rPr>
          <w:spacing w:val="-3"/>
        </w:rPr>
        <w:t> </w:t>
      </w:r>
      <w:r>
        <w:rPr/>
        <w:t>to</w:t>
      </w:r>
      <w:r>
        <w:rPr>
          <w:spacing w:val="-3"/>
        </w:rPr>
        <w:t> </w:t>
      </w:r>
      <w:r>
        <w:rPr/>
        <w:t>have</w:t>
      </w:r>
      <w:r>
        <w:rPr>
          <w:spacing w:val="-3"/>
        </w:rPr>
        <w:t> </w:t>
      </w:r>
      <w:r>
        <w:rPr/>
        <w:t>an</w:t>
      </w:r>
      <w:r>
        <w:rPr>
          <w:spacing w:val="-3"/>
        </w:rPr>
        <w:t> </w:t>
      </w:r>
      <w:r>
        <w:rPr/>
        <w:t>attendance</w:t>
      </w:r>
      <w:r>
        <w:rPr>
          <w:spacing w:val="-3"/>
        </w:rPr>
        <w:t> </w:t>
      </w:r>
      <w:r>
        <w:rPr/>
        <w:t>policy</w:t>
      </w:r>
      <w:r>
        <w:rPr>
          <w:spacing w:val="-3"/>
        </w:rPr>
        <w:t> </w:t>
      </w:r>
      <w:r>
        <w:rPr/>
        <w:t>for</w:t>
      </w:r>
      <w:r>
        <w:rPr>
          <w:spacing w:val="-3"/>
        </w:rPr>
        <w:t> </w:t>
      </w:r>
      <w:r>
        <w:rPr/>
        <w:t>the</w:t>
      </w:r>
      <w:r>
        <w:rPr>
          <w:spacing w:val="-3"/>
        </w:rPr>
        <w:t> </w:t>
      </w:r>
      <w:r>
        <w:rPr/>
        <w:t>course,</w:t>
      </w:r>
      <w:r>
        <w:rPr>
          <w:spacing w:val="-4"/>
        </w:rPr>
        <w:t> </w:t>
      </w:r>
      <w:r>
        <w:rPr/>
        <w:t>with</w:t>
      </w:r>
      <w:r>
        <w:rPr>
          <w:spacing w:val="-3"/>
        </w:rPr>
        <w:t> </w:t>
      </w:r>
      <w:r>
        <w:rPr/>
        <w:t>minor</w:t>
      </w:r>
      <w:r>
        <w:rPr>
          <w:spacing w:val="-3"/>
        </w:rPr>
        <w:t> </w:t>
      </w:r>
      <w:r>
        <w:rPr/>
        <w:t>flexibility</w:t>
      </w:r>
      <w:r>
        <w:rPr>
          <w:spacing w:val="-3"/>
        </w:rPr>
        <w:t> </w:t>
      </w:r>
      <w:r>
        <w:rPr/>
        <w:t>for absences as appropriate. Students are generally excused from class if they have travel for a conference. Faculty may take final grade deductions for students with excessive </w:t>
      </w:r>
      <w:r>
        <w:rPr>
          <w:spacing w:val="-2"/>
        </w:rPr>
        <w:t>absences.</w:t>
      </w:r>
    </w:p>
    <w:p>
      <w:pPr>
        <w:pStyle w:val="BodyText"/>
        <w:spacing w:after="0" w:line="276" w:lineRule="auto"/>
        <w:sectPr>
          <w:pgSz w:w="12240" w:h="15840"/>
          <w:pgMar w:header="0" w:footer="806" w:top="1420" w:bottom="1000" w:left="1440" w:right="1440"/>
        </w:sectPr>
      </w:pPr>
    </w:p>
    <w:p>
      <w:pPr>
        <w:pStyle w:val="BodyText"/>
        <w:spacing w:line="276" w:lineRule="auto" w:before="22"/>
        <w:ind w:right="11"/>
      </w:pPr>
      <w:r>
        <w:rPr/>
        <w:t>In general, if a student is not meeting class expectations, does not produce work at an appropriate</w:t>
      </w:r>
      <w:r>
        <w:rPr>
          <w:spacing w:val="-4"/>
        </w:rPr>
        <w:t> </w:t>
      </w:r>
      <w:r>
        <w:rPr/>
        <w:t>graduate</w:t>
      </w:r>
      <w:r>
        <w:rPr>
          <w:spacing w:val="-4"/>
        </w:rPr>
        <w:t> </w:t>
      </w:r>
      <w:r>
        <w:rPr/>
        <w:t>level,</w:t>
      </w:r>
      <w:r>
        <w:rPr>
          <w:spacing w:val="-5"/>
        </w:rPr>
        <w:t> </w:t>
      </w:r>
      <w:r>
        <w:rPr/>
        <w:t>is</w:t>
      </w:r>
      <w:r>
        <w:rPr>
          <w:spacing w:val="-4"/>
        </w:rPr>
        <w:t> </w:t>
      </w:r>
      <w:r>
        <w:rPr/>
        <w:t>delinquent</w:t>
      </w:r>
      <w:r>
        <w:rPr>
          <w:spacing w:val="-5"/>
        </w:rPr>
        <w:t> </w:t>
      </w:r>
      <w:r>
        <w:rPr/>
        <w:t>in</w:t>
      </w:r>
      <w:r>
        <w:rPr>
          <w:spacing w:val="-4"/>
        </w:rPr>
        <w:t> </w:t>
      </w:r>
      <w:r>
        <w:rPr/>
        <w:t>submitting</w:t>
      </w:r>
      <w:r>
        <w:rPr>
          <w:spacing w:val="-4"/>
        </w:rPr>
        <w:t> </w:t>
      </w:r>
      <w:r>
        <w:rPr/>
        <w:t>assignments,</w:t>
      </w:r>
      <w:r>
        <w:rPr>
          <w:spacing w:val="-5"/>
        </w:rPr>
        <w:t> </w:t>
      </w:r>
      <w:r>
        <w:rPr/>
        <w:t>and/or</w:t>
      </w:r>
      <w:r>
        <w:rPr>
          <w:spacing w:val="-4"/>
        </w:rPr>
        <w:t> </w:t>
      </w:r>
      <w:r>
        <w:rPr/>
        <w:t>is</w:t>
      </w:r>
      <w:r>
        <w:rPr>
          <w:spacing w:val="-4"/>
        </w:rPr>
        <w:t> </w:t>
      </w:r>
      <w:r>
        <w:rPr/>
        <w:t>chronically late or absent, then the student </w:t>
      </w:r>
      <w:r>
        <w:rPr>
          <w:i/>
        </w:rPr>
        <w:t>should not earn an A for the course</w:t>
      </w:r>
      <w:r>
        <w:rPr/>
        <w:t>. The final grade for a course should reflect an accurate and fair assessment of the student’s work and should not be inflated, nor punitive.</w:t>
      </w:r>
    </w:p>
    <w:p>
      <w:pPr>
        <w:pStyle w:val="BodyText"/>
        <w:spacing w:before="42"/>
      </w:pPr>
    </w:p>
    <w:p>
      <w:pPr>
        <w:pStyle w:val="BodyText"/>
        <w:spacing w:line="276" w:lineRule="auto"/>
      </w:pPr>
      <w:r>
        <w:rPr/>
        <w:t>Students must earn a grade of B or higher for the course to count toward their degree requirements, according to campus policies. </w:t>
      </w:r>
      <w:r>
        <w:rPr>
          <w:color w:val="1155CC"/>
          <w:u w:val="single" w:color="1155CC"/>
        </w:rPr>
        <w:t>Grades of B- and below are considered</w:t>
      </w:r>
      <w:r>
        <w:rPr>
          <w:color w:val="1155CC"/>
        </w:rPr>
        <w:t> </w:t>
      </w:r>
      <w:r>
        <w:rPr>
          <w:color w:val="1155CC"/>
          <w:u w:val="single" w:color="1155CC"/>
        </w:rPr>
        <w:t>failing</w:t>
      </w:r>
      <w:r>
        <w:rPr>
          <w:color w:val="1155CC"/>
          <w:spacing w:val="-4"/>
          <w:u w:val="single" w:color="1155CC"/>
        </w:rPr>
        <w:t> </w:t>
      </w:r>
      <w:r>
        <w:rPr>
          <w:color w:val="1155CC"/>
          <w:u w:val="single" w:color="1155CC"/>
        </w:rPr>
        <w:t>in</w:t>
      </w:r>
      <w:r>
        <w:rPr>
          <w:color w:val="1155CC"/>
          <w:spacing w:val="-4"/>
          <w:u w:val="single" w:color="1155CC"/>
        </w:rPr>
        <w:t> </w:t>
      </w:r>
      <w:r>
        <w:rPr>
          <w:color w:val="1155CC"/>
          <w:u w:val="single" w:color="1155CC"/>
        </w:rPr>
        <w:t>graduate</w:t>
      </w:r>
      <w:r>
        <w:rPr>
          <w:color w:val="1155CC"/>
          <w:spacing w:val="-4"/>
          <w:u w:val="single" w:color="1155CC"/>
        </w:rPr>
        <w:t> </w:t>
      </w:r>
      <w:r>
        <w:rPr>
          <w:color w:val="1155CC"/>
          <w:u w:val="single" w:color="1155CC"/>
        </w:rPr>
        <w:t>school</w:t>
      </w:r>
      <w:r>
        <w:rPr>
          <w:color w:val="1155CC"/>
          <w:spacing w:val="-4"/>
          <w:u w:val="single" w:color="1155CC"/>
        </w:rPr>
        <w:t> </w:t>
      </w:r>
      <w:r>
        <w:rPr>
          <w:color w:val="1155CC"/>
          <w:u w:val="single" w:color="1155CC"/>
        </w:rPr>
        <w:t>and</w:t>
      </w:r>
      <w:r>
        <w:rPr>
          <w:color w:val="1155CC"/>
          <w:spacing w:val="-4"/>
          <w:u w:val="single" w:color="1155CC"/>
        </w:rPr>
        <w:t> </w:t>
      </w:r>
      <w:r>
        <w:rPr>
          <w:color w:val="1155CC"/>
          <w:u w:val="single" w:color="1155CC"/>
        </w:rPr>
        <w:t>automatically</w:t>
      </w:r>
      <w:r>
        <w:rPr>
          <w:color w:val="1155CC"/>
          <w:spacing w:val="-4"/>
          <w:u w:val="single" w:color="1155CC"/>
        </w:rPr>
        <w:t> </w:t>
      </w:r>
      <w:r>
        <w:rPr>
          <w:color w:val="1155CC"/>
          <w:u w:val="single" w:color="1155CC"/>
        </w:rPr>
        <w:t>place</w:t>
      </w:r>
      <w:r>
        <w:rPr>
          <w:color w:val="1155CC"/>
          <w:spacing w:val="-4"/>
          <w:u w:val="single" w:color="1155CC"/>
        </w:rPr>
        <w:t> </w:t>
      </w:r>
      <w:r>
        <w:rPr>
          <w:color w:val="1155CC"/>
          <w:u w:val="single" w:color="1155CC"/>
        </w:rPr>
        <w:t>the</w:t>
      </w:r>
      <w:r>
        <w:rPr>
          <w:color w:val="1155CC"/>
          <w:spacing w:val="-4"/>
          <w:u w:val="single" w:color="1155CC"/>
        </w:rPr>
        <w:t> </w:t>
      </w:r>
      <w:r>
        <w:rPr>
          <w:color w:val="1155CC"/>
          <w:u w:val="single" w:color="1155CC"/>
        </w:rPr>
        <w:t>student</w:t>
      </w:r>
      <w:r>
        <w:rPr>
          <w:color w:val="1155CC"/>
          <w:spacing w:val="-5"/>
          <w:u w:val="single" w:color="1155CC"/>
        </w:rPr>
        <w:t> </w:t>
      </w:r>
      <w:r>
        <w:rPr>
          <w:color w:val="1155CC"/>
          <w:u w:val="single" w:color="1155CC"/>
        </w:rPr>
        <w:t>on</w:t>
      </w:r>
      <w:r>
        <w:rPr>
          <w:color w:val="1155CC"/>
          <w:spacing w:val="-4"/>
          <w:u w:val="single" w:color="1155CC"/>
        </w:rPr>
        <w:t> </w:t>
      </w:r>
      <w:r>
        <w:rPr>
          <w:color w:val="1155CC"/>
          <w:u w:val="single" w:color="1155CC"/>
        </w:rPr>
        <w:t>Academic</w:t>
      </w:r>
      <w:r>
        <w:rPr>
          <w:color w:val="1155CC"/>
          <w:spacing w:val="-4"/>
          <w:u w:val="single" w:color="1155CC"/>
        </w:rPr>
        <w:t> </w:t>
      </w:r>
      <w:r>
        <w:rPr>
          <w:color w:val="1155CC"/>
          <w:u w:val="single" w:color="1155CC"/>
        </w:rPr>
        <w:t>Conditional</w:t>
      </w:r>
      <w:r>
        <w:rPr>
          <w:color w:val="1155CC"/>
        </w:rPr>
        <w:t> </w:t>
      </w:r>
      <w:r>
        <w:rPr>
          <w:color w:val="1155CC"/>
          <w:u w:val="single" w:color="1155CC"/>
        </w:rPr>
        <w:t>Status</w:t>
      </w:r>
      <w:r>
        <w:rPr/>
        <w:t>; faculty may assign such grades when earned, but only when appropriate.</w:t>
      </w:r>
    </w:p>
    <w:p>
      <w:pPr>
        <w:pStyle w:val="BodyText"/>
        <w:spacing w:line="276" w:lineRule="auto"/>
        <w:ind w:right="83"/>
      </w:pPr>
      <w:r>
        <w:rPr/>
        <w:t>Grades of B- and below indicate that a student has failed to meet the expectations of the</w:t>
      </w:r>
      <w:r>
        <w:rPr>
          <w:spacing w:val="-3"/>
        </w:rPr>
        <w:t> </w:t>
      </w:r>
      <w:r>
        <w:rPr/>
        <w:t>class,</w:t>
      </w:r>
      <w:r>
        <w:rPr>
          <w:spacing w:val="-4"/>
        </w:rPr>
        <w:t> </w:t>
      </w:r>
      <w:r>
        <w:rPr/>
        <w:t>has</w:t>
      </w:r>
      <w:r>
        <w:rPr>
          <w:spacing w:val="-3"/>
        </w:rPr>
        <w:t> </w:t>
      </w:r>
      <w:r>
        <w:rPr/>
        <w:t>not</w:t>
      </w:r>
      <w:r>
        <w:rPr>
          <w:spacing w:val="-4"/>
        </w:rPr>
        <w:t> </w:t>
      </w:r>
      <w:r>
        <w:rPr/>
        <w:t>completed</w:t>
      </w:r>
      <w:r>
        <w:rPr>
          <w:spacing w:val="-3"/>
        </w:rPr>
        <w:t> </w:t>
      </w:r>
      <w:r>
        <w:rPr/>
        <w:t>the</w:t>
      </w:r>
      <w:r>
        <w:rPr>
          <w:spacing w:val="-3"/>
        </w:rPr>
        <w:t> </w:t>
      </w:r>
      <w:r>
        <w:rPr/>
        <w:t>assigned</w:t>
      </w:r>
      <w:r>
        <w:rPr>
          <w:spacing w:val="-3"/>
        </w:rPr>
        <w:t> </w:t>
      </w:r>
      <w:r>
        <w:rPr/>
        <w:t>work</w:t>
      </w:r>
      <w:r>
        <w:rPr>
          <w:spacing w:val="-3"/>
        </w:rPr>
        <w:t> </w:t>
      </w:r>
      <w:r>
        <w:rPr/>
        <w:t>for</w:t>
      </w:r>
      <w:r>
        <w:rPr>
          <w:spacing w:val="-3"/>
        </w:rPr>
        <w:t> </w:t>
      </w:r>
      <w:r>
        <w:rPr/>
        <w:t>a</w:t>
      </w:r>
      <w:r>
        <w:rPr>
          <w:spacing w:val="-3"/>
        </w:rPr>
        <w:t> </w:t>
      </w:r>
      <w:r>
        <w:rPr/>
        <w:t>class,</w:t>
      </w:r>
      <w:r>
        <w:rPr>
          <w:spacing w:val="-4"/>
        </w:rPr>
        <w:t> </w:t>
      </w:r>
      <w:r>
        <w:rPr/>
        <w:t>and/or</w:t>
      </w:r>
      <w:r>
        <w:rPr>
          <w:spacing w:val="-3"/>
        </w:rPr>
        <w:t> </w:t>
      </w:r>
      <w:r>
        <w:rPr/>
        <w:t>has</w:t>
      </w:r>
      <w:r>
        <w:rPr>
          <w:spacing w:val="-3"/>
        </w:rPr>
        <w:t> </w:t>
      </w:r>
      <w:r>
        <w:rPr/>
        <w:t>submitted</w:t>
      </w:r>
      <w:r>
        <w:rPr>
          <w:spacing w:val="-3"/>
        </w:rPr>
        <w:t> </w:t>
      </w:r>
      <w:r>
        <w:rPr/>
        <w:t>work that is insufficient or at an unacceptable level for a graduate class. See the FMS Graduate Student Handbook for more information about grade policies.</w:t>
      </w:r>
    </w:p>
    <w:p>
      <w:pPr>
        <w:pStyle w:val="BodyText"/>
        <w:spacing w:before="46"/>
      </w:pPr>
    </w:p>
    <w:p>
      <w:pPr>
        <w:pStyle w:val="BodyText"/>
        <w:spacing w:line="276" w:lineRule="auto"/>
      </w:pPr>
      <w:r>
        <w:rPr/>
        <w:t>Grades</w:t>
      </w:r>
      <w:r>
        <w:rPr>
          <w:spacing w:val="-3"/>
        </w:rPr>
        <w:t> </w:t>
      </w:r>
      <w:r>
        <w:rPr/>
        <w:t>are</w:t>
      </w:r>
      <w:r>
        <w:rPr>
          <w:spacing w:val="-3"/>
        </w:rPr>
        <w:t> </w:t>
      </w:r>
      <w:r>
        <w:rPr/>
        <w:t>determined</w:t>
      </w:r>
      <w:r>
        <w:rPr>
          <w:spacing w:val="-3"/>
        </w:rPr>
        <w:t> </w:t>
      </w:r>
      <w:r>
        <w:rPr/>
        <w:t>by</w:t>
      </w:r>
      <w:r>
        <w:rPr>
          <w:spacing w:val="-3"/>
        </w:rPr>
        <w:t> </w:t>
      </w:r>
      <w:r>
        <w:rPr/>
        <w:t>the</w:t>
      </w:r>
      <w:r>
        <w:rPr>
          <w:spacing w:val="-3"/>
        </w:rPr>
        <w:t> </w:t>
      </w:r>
      <w:r>
        <w:rPr/>
        <w:t>instructor</w:t>
      </w:r>
      <w:r>
        <w:rPr>
          <w:spacing w:val="-3"/>
        </w:rPr>
        <w:t> </w:t>
      </w:r>
      <w:r>
        <w:rPr/>
        <w:t>of</w:t>
      </w:r>
      <w:r>
        <w:rPr>
          <w:spacing w:val="-4"/>
        </w:rPr>
        <w:t> </w:t>
      </w:r>
      <w:r>
        <w:rPr/>
        <w:t>record</w:t>
      </w:r>
      <w:r>
        <w:rPr>
          <w:spacing w:val="-3"/>
        </w:rPr>
        <w:t> </w:t>
      </w:r>
      <w:r>
        <w:rPr/>
        <w:t>and</w:t>
      </w:r>
      <w:r>
        <w:rPr>
          <w:spacing w:val="-3"/>
        </w:rPr>
        <w:t> </w:t>
      </w:r>
      <w:r>
        <w:rPr/>
        <w:t>cannot</w:t>
      </w:r>
      <w:r>
        <w:rPr>
          <w:spacing w:val="-4"/>
        </w:rPr>
        <w:t> </w:t>
      </w:r>
      <w:r>
        <w:rPr/>
        <w:t>be</w:t>
      </w:r>
      <w:r>
        <w:rPr>
          <w:spacing w:val="-3"/>
        </w:rPr>
        <w:t> </w:t>
      </w:r>
      <w:r>
        <w:rPr/>
        <w:t>overruled</w:t>
      </w:r>
      <w:r>
        <w:rPr>
          <w:spacing w:val="-3"/>
        </w:rPr>
        <w:t> </w:t>
      </w:r>
      <w:r>
        <w:rPr/>
        <w:t>by</w:t>
      </w:r>
      <w:r>
        <w:rPr>
          <w:spacing w:val="-3"/>
        </w:rPr>
        <w:t> </w:t>
      </w:r>
      <w:r>
        <w:rPr/>
        <w:t>the department administration.</w:t>
      </w:r>
    </w:p>
    <w:p>
      <w:pPr>
        <w:pStyle w:val="BodyText"/>
        <w:spacing w:before="43"/>
      </w:pPr>
    </w:p>
    <w:p>
      <w:pPr>
        <w:pStyle w:val="BodyText"/>
        <w:spacing w:line="276" w:lineRule="auto"/>
        <w:ind w:right="86"/>
        <w:jc w:val="both"/>
      </w:pPr>
      <w:r>
        <w:rPr/>
        <w:t>If a student is not on track to pass a class (such as failing to meet course expectations, excessive absences, missing deadlines and/or not submitting work) faculty are advised to</w:t>
      </w:r>
      <w:r>
        <w:rPr>
          <w:spacing w:val="-3"/>
        </w:rPr>
        <w:t> </w:t>
      </w:r>
      <w:r>
        <w:rPr/>
        <w:t>proactively</w:t>
      </w:r>
      <w:r>
        <w:rPr>
          <w:spacing w:val="-3"/>
        </w:rPr>
        <w:t> </w:t>
      </w:r>
      <w:r>
        <w:rPr/>
        <w:t>contact</w:t>
      </w:r>
      <w:r>
        <w:rPr>
          <w:spacing w:val="-4"/>
        </w:rPr>
        <w:t> </w:t>
      </w:r>
      <w:r>
        <w:rPr/>
        <w:t>the</w:t>
      </w:r>
      <w:r>
        <w:rPr>
          <w:spacing w:val="-3"/>
        </w:rPr>
        <w:t> </w:t>
      </w:r>
      <w:r>
        <w:rPr/>
        <w:t>student’s</w:t>
      </w:r>
      <w:r>
        <w:rPr>
          <w:spacing w:val="-3"/>
        </w:rPr>
        <w:t> </w:t>
      </w:r>
      <w:r>
        <w:rPr/>
        <w:t>advisor</w:t>
      </w:r>
      <w:r>
        <w:rPr>
          <w:spacing w:val="-3"/>
        </w:rPr>
        <w:t> </w:t>
      </w:r>
      <w:r>
        <w:rPr/>
        <w:t>and/or</w:t>
      </w:r>
      <w:r>
        <w:rPr>
          <w:spacing w:val="-3"/>
        </w:rPr>
        <w:t> </w:t>
      </w:r>
      <w:r>
        <w:rPr/>
        <w:t>program</w:t>
      </w:r>
      <w:r>
        <w:rPr>
          <w:spacing w:val="-3"/>
        </w:rPr>
        <w:t> </w:t>
      </w:r>
      <w:r>
        <w:rPr/>
        <w:t>director</w:t>
      </w:r>
      <w:r>
        <w:rPr>
          <w:spacing w:val="-3"/>
        </w:rPr>
        <w:t> </w:t>
      </w:r>
      <w:r>
        <w:rPr/>
        <w:t>of</w:t>
      </w:r>
      <w:r>
        <w:rPr>
          <w:spacing w:val="-4"/>
        </w:rPr>
        <w:t> </w:t>
      </w:r>
      <w:r>
        <w:rPr/>
        <w:t>graduate</w:t>
      </w:r>
      <w:r>
        <w:rPr>
          <w:spacing w:val="-3"/>
        </w:rPr>
        <w:t> </w:t>
      </w:r>
      <w:r>
        <w:rPr/>
        <w:t>study</w:t>
      </w:r>
      <w:r>
        <w:rPr>
          <w:spacing w:val="-3"/>
        </w:rPr>
        <w:t> </w:t>
      </w:r>
      <w:r>
        <w:rPr/>
        <w:t>in advance of the end of the term. This applies to students from other programs as well.</w:t>
      </w:r>
    </w:p>
    <w:p>
      <w:pPr>
        <w:pStyle w:val="BodyText"/>
        <w:spacing w:before="42"/>
      </w:pPr>
    </w:p>
    <w:p>
      <w:pPr>
        <w:pStyle w:val="BodyText"/>
        <w:spacing w:line="276" w:lineRule="auto"/>
      </w:pPr>
      <w:r>
        <w:rPr/>
        <w:t>Incomplete (I) grades are permitted at the faculty’s discretion. Students must make advance</w:t>
      </w:r>
      <w:r>
        <w:rPr>
          <w:spacing w:val="-1"/>
        </w:rPr>
        <w:t> </w:t>
      </w:r>
      <w:r>
        <w:rPr/>
        <w:t>arrangements</w:t>
      </w:r>
      <w:r>
        <w:rPr>
          <w:spacing w:val="-1"/>
        </w:rPr>
        <w:t> </w:t>
      </w:r>
      <w:r>
        <w:rPr/>
        <w:t>and</w:t>
      </w:r>
      <w:r>
        <w:rPr>
          <w:spacing w:val="-1"/>
        </w:rPr>
        <w:t> </w:t>
      </w:r>
      <w:r>
        <w:rPr/>
        <w:t>have</w:t>
      </w:r>
      <w:r>
        <w:rPr>
          <w:spacing w:val="-1"/>
        </w:rPr>
        <w:t> </w:t>
      </w:r>
      <w:r>
        <w:rPr/>
        <w:t>faculty</w:t>
      </w:r>
      <w:r>
        <w:rPr>
          <w:spacing w:val="-1"/>
        </w:rPr>
        <w:t> </w:t>
      </w:r>
      <w:r>
        <w:rPr/>
        <w:t>approval</w:t>
      </w:r>
      <w:r>
        <w:rPr>
          <w:spacing w:val="-1"/>
        </w:rPr>
        <w:t> </w:t>
      </w:r>
      <w:r>
        <w:rPr/>
        <w:t>for</w:t>
      </w:r>
      <w:r>
        <w:rPr>
          <w:spacing w:val="-1"/>
        </w:rPr>
        <w:t> </w:t>
      </w:r>
      <w:r>
        <w:rPr/>
        <w:t>an</w:t>
      </w:r>
      <w:r>
        <w:rPr>
          <w:spacing w:val="-1"/>
        </w:rPr>
        <w:t> </w:t>
      </w:r>
      <w:r>
        <w:rPr/>
        <w:t>incomplete</w:t>
      </w:r>
      <w:r>
        <w:rPr>
          <w:spacing w:val="-1"/>
        </w:rPr>
        <w:t> </w:t>
      </w:r>
      <w:r>
        <w:rPr/>
        <w:t>well</w:t>
      </w:r>
      <w:r>
        <w:rPr>
          <w:spacing w:val="-1"/>
        </w:rPr>
        <w:t> </w:t>
      </w:r>
      <w:r>
        <w:rPr/>
        <w:t>in</w:t>
      </w:r>
      <w:r>
        <w:rPr>
          <w:spacing w:val="-1"/>
        </w:rPr>
        <w:t> </w:t>
      </w:r>
      <w:r>
        <w:rPr/>
        <w:t>advance</w:t>
      </w:r>
      <w:r>
        <w:rPr>
          <w:spacing w:val="-1"/>
        </w:rPr>
        <w:t> </w:t>
      </w:r>
      <w:r>
        <w:rPr/>
        <w:t>of an assignment’s due date and/or the term’s end. There must be good cause for the student</w:t>
      </w:r>
      <w:r>
        <w:rPr>
          <w:spacing w:val="-4"/>
        </w:rPr>
        <w:t> </w:t>
      </w:r>
      <w:r>
        <w:rPr/>
        <w:t>to</w:t>
      </w:r>
      <w:r>
        <w:rPr>
          <w:spacing w:val="-3"/>
        </w:rPr>
        <w:t> </w:t>
      </w:r>
      <w:r>
        <w:rPr/>
        <w:t>be</w:t>
      </w:r>
      <w:r>
        <w:rPr>
          <w:spacing w:val="-3"/>
        </w:rPr>
        <w:t> </w:t>
      </w:r>
      <w:r>
        <w:rPr/>
        <w:t>granted</w:t>
      </w:r>
      <w:r>
        <w:rPr>
          <w:spacing w:val="-3"/>
        </w:rPr>
        <w:t> </w:t>
      </w:r>
      <w:r>
        <w:rPr/>
        <w:t>additional</w:t>
      </w:r>
      <w:r>
        <w:rPr>
          <w:spacing w:val="-3"/>
        </w:rPr>
        <w:t> </w:t>
      </w:r>
      <w:r>
        <w:rPr/>
        <w:t>time</w:t>
      </w:r>
      <w:r>
        <w:rPr>
          <w:spacing w:val="-3"/>
        </w:rPr>
        <w:t> </w:t>
      </w:r>
      <w:r>
        <w:rPr/>
        <w:t>to</w:t>
      </w:r>
      <w:r>
        <w:rPr>
          <w:spacing w:val="-3"/>
        </w:rPr>
        <w:t> </w:t>
      </w:r>
      <w:r>
        <w:rPr/>
        <w:t>complete</w:t>
      </w:r>
      <w:r>
        <w:rPr>
          <w:spacing w:val="-3"/>
        </w:rPr>
        <w:t> </w:t>
      </w:r>
      <w:r>
        <w:rPr/>
        <w:t>assignments,</w:t>
      </w:r>
      <w:r>
        <w:rPr>
          <w:spacing w:val="-4"/>
        </w:rPr>
        <w:t> </w:t>
      </w:r>
      <w:r>
        <w:rPr/>
        <w:t>and</w:t>
      </w:r>
      <w:r>
        <w:rPr>
          <w:spacing w:val="-3"/>
        </w:rPr>
        <w:t> </w:t>
      </w:r>
      <w:r>
        <w:rPr/>
        <w:t>a</w:t>
      </w:r>
      <w:r>
        <w:rPr>
          <w:spacing w:val="-3"/>
        </w:rPr>
        <w:t> </w:t>
      </w:r>
      <w:r>
        <w:rPr/>
        <w:t>clear</w:t>
      </w:r>
      <w:r>
        <w:rPr>
          <w:spacing w:val="-3"/>
        </w:rPr>
        <w:t> </w:t>
      </w:r>
      <w:r>
        <w:rPr/>
        <w:t>deadline</w:t>
      </w:r>
      <w:r>
        <w:rPr>
          <w:spacing w:val="-3"/>
        </w:rPr>
        <w:t> </w:t>
      </w:r>
      <w:r>
        <w:rPr/>
        <w:t>to complete the assignments must also be communicated. Students with multiple incompletes</w:t>
      </w:r>
      <w:r>
        <w:rPr>
          <w:spacing w:val="-3"/>
        </w:rPr>
        <w:t> </w:t>
      </w:r>
      <w:r>
        <w:rPr/>
        <w:t>are</w:t>
      </w:r>
      <w:r>
        <w:rPr>
          <w:spacing w:val="-3"/>
        </w:rPr>
        <w:t> </w:t>
      </w:r>
      <w:r>
        <w:rPr/>
        <w:t>automatically</w:t>
      </w:r>
      <w:r>
        <w:rPr>
          <w:spacing w:val="-3"/>
        </w:rPr>
        <w:t> </w:t>
      </w:r>
      <w:r>
        <w:rPr/>
        <w:t>recommended</w:t>
      </w:r>
      <w:r>
        <w:rPr>
          <w:spacing w:val="-3"/>
        </w:rPr>
        <w:t> </w:t>
      </w:r>
      <w:r>
        <w:rPr/>
        <w:t>for</w:t>
      </w:r>
      <w:r>
        <w:rPr>
          <w:spacing w:val="-3"/>
        </w:rPr>
        <w:t> </w:t>
      </w:r>
      <w:r>
        <w:rPr/>
        <w:t>Academic</w:t>
      </w:r>
      <w:r>
        <w:rPr>
          <w:spacing w:val="-3"/>
        </w:rPr>
        <w:t> </w:t>
      </w:r>
      <w:r>
        <w:rPr/>
        <w:t>Conditional</w:t>
      </w:r>
      <w:r>
        <w:rPr>
          <w:spacing w:val="-3"/>
        </w:rPr>
        <w:t> </w:t>
      </w:r>
      <w:r>
        <w:rPr/>
        <w:t>Status.</w:t>
      </w:r>
      <w:r>
        <w:rPr>
          <w:spacing w:val="-4"/>
        </w:rPr>
        <w:t> </w:t>
      </w:r>
      <w:r>
        <w:rPr/>
        <w:t>Faculty are advised to clearly communicate Incomplete guidelines in the course syllabus.</w:t>
      </w:r>
    </w:p>
    <w:p>
      <w:pPr>
        <w:pStyle w:val="BodyText"/>
        <w:spacing w:before="42"/>
      </w:pPr>
    </w:p>
    <w:p>
      <w:pPr>
        <w:pStyle w:val="BodyText"/>
      </w:pPr>
      <w:r>
        <w:rPr>
          <w:color w:val="1155CC"/>
          <w:u w:val="single" w:color="1155CC"/>
        </w:rPr>
        <w:t>Campus</w:t>
      </w:r>
      <w:r>
        <w:rPr>
          <w:color w:val="1155CC"/>
          <w:spacing w:val="-1"/>
          <w:u w:val="single" w:color="1155CC"/>
        </w:rPr>
        <w:t> </w:t>
      </w:r>
      <w:r>
        <w:rPr>
          <w:color w:val="1155CC"/>
          <w:u w:val="single" w:color="1155CC"/>
        </w:rPr>
        <w:t>policy on</w:t>
      </w:r>
      <w:r>
        <w:rPr>
          <w:color w:val="1155CC"/>
          <w:spacing w:val="-1"/>
          <w:u w:val="single" w:color="1155CC"/>
        </w:rPr>
        <w:t> </w:t>
      </w:r>
      <w:r>
        <w:rPr>
          <w:color w:val="1155CC"/>
          <w:u w:val="single" w:color="1155CC"/>
        </w:rPr>
        <w:t>Incompletes</w:t>
      </w:r>
      <w:r>
        <w:rPr>
          <w:color w:val="1155CC"/>
          <w:spacing w:val="-1"/>
        </w:rPr>
        <w:t> </w:t>
      </w:r>
      <w:r>
        <w:rPr/>
        <w:t>is</w:t>
      </w:r>
      <w:r>
        <w:rPr>
          <w:spacing w:val="-1"/>
        </w:rPr>
        <w:t> </w:t>
      </w:r>
      <w:r>
        <w:rPr/>
        <w:t>as </w:t>
      </w:r>
      <w:r>
        <w:rPr>
          <w:spacing w:val="-2"/>
        </w:rPr>
        <w:t>follows:</w:t>
      </w:r>
    </w:p>
    <w:p>
      <w:pPr>
        <w:pStyle w:val="Heading1"/>
        <w:spacing w:before="43"/>
        <w:ind w:left="720"/>
      </w:pPr>
      <w:r>
        <w:rPr/>
        <w:t>Incomplete</w:t>
      </w:r>
      <w:r>
        <w:rPr>
          <w:spacing w:val="-1"/>
        </w:rPr>
        <w:t> </w:t>
      </w:r>
      <w:r>
        <w:rPr/>
        <w:t>Grade (I) </w:t>
      </w:r>
      <w:r>
        <w:rPr>
          <w:spacing w:val="-2"/>
        </w:rPr>
        <w:t>Graduate</w:t>
      </w:r>
    </w:p>
    <w:p>
      <w:pPr>
        <w:pStyle w:val="ListParagraph"/>
        <w:numPr>
          <w:ilvl w:val="0"/>
          <w:numId w:val="1"/>
        </w:numPr>
        <w:tabs>
          <w:tab w:pos="1079" w:val="left" w:leader="none"/>
        </w:tabs>
        <w:spacing w:line="240" w:lineRule="auto" w:before="0" w:after="0"/>
        <w:ind w:left="1079" w:right="0" w:hanging="359"/>
        <w:jc w:val="left"/>
        <w:rPr>
          <w:b/>
          <w:sz w:val="24"/>
        </w:rPr>
      </w:pPr>
      <w:r>
        <w:rPr>
          <w:b/>
          <w:spacing w:val="-2"/>
          <w:sz w:val="24"/>
        </w:rPr>
        <w:t>Conditions</w:t>
      </w:r>
    </w:p>
    <w:p>
      <w:pPr>
        <w:pStyle w:val="BodyText"/>
        <w:ind w:left="1080" w:right="83"/>
      </w:pPr>
      <w:r>
        <w:rPr/>
        <w:t>The</w:t>
      </w:r>
      <w:r>
        <w:rPr>
          <w:spacing w:val="-4"/>
        </w:rPr>
        <w:t> </w:t>
      </w:r>
      <w:r>
        <w:rPr/>
        <w:t>grade</w:t>
      </w:r>
      <w:r>
        <w:rPr>
          <w:spacing w:val="-4"/>
        </w:rPr>
        <w:t> </w:t>
      </w:r>
      <w:r>
        <w:rPr/>
        <w:t>Incomplete</w:t>
      </w:r>
      <w:r>
        <w:rPr>
          <w:spacing w:val="-4"/>
        </w:rPr>
        <w:t> </w:t>
      </w:r>
      <w:r>
        <w:rPr/>
        <w:t>may</w:t>
      </w:r>
      <w:r>
        <w:rPr>
          <w:spacing w:val="-4"/>
        </w:rPr>
        <w:t> </w:t>
      </w:r>
      <w:r>
        <w:rPr/>
        <w:t>be</w:t>
      </w:r>
      <w:r>
        <w:rPr>
          <w:spacing w:val="-4"/>
        </w:rPr>
        <w:t> </w:t>
      </w:r>
      <w:r>
        <w:rPr/>
        <w:t>assigned</w:t>
      </w:r>
      <w:r>
        <w:rPr>
          <w:spacing w:val="-4"/>
        </w:rPr>
        <w:t> </w:t>
      </w:r>
      <w:r>
        <w:rPr/>
        <w:t>when</w:t>
      </w:r>
      <w:r>
        <w:rPr>
          <w:spacing w:val="-4"/>
        </w:rPr>
        <w:t> </w:t>
      </w:r>
      <w:r>
        <w:rPr/>
        <w:t>a</w:t>
      </w:r>
      <w:r>
        <w:rPr>
          <w:spacing w:val="-4"/>
        </w:rPr>
        <w:t> </w:t>
      </w:r>
      <w:r>
        <w:rPr/>
        <w:t>student's</w:t>
      </w:r>
      <w:r>
        <w:rPr>
          <w:spacing w:val="-4"/>
        </w:rPr>
        <w:t> </w:t>
      </w:r>
      <w:r>
        <w:rPr/>
        <w:t>work</w:t>
      </w:r>
      <w:r>
        <w:rPr>
          <w:spacing w:val="-4"/>
        </w:rPr>
        <w:t> </w:t>
      </w:r>
      <w:r>
        <w:rPr/>
        <w:t>is</w:t>
      </w:r>
      <w:r>
        <w:rPr>
          <w:spacing w:val="-4"/>
        </w:rPr>
        <w:t> </w:t>
      </w:r>
      <w:r>
        <w:rPr/>
        <w:t>of</w:t>
      </w:r>
      <w:r>
        <w:rPr>
          <w:spacing w:val="-4"/>
        </w:rPr>
        <w:t> </w:t>
      </w:r>
      <w:r>
        <w:rPr/>
        <w:t>passing quality but is incomplete for good cause. The I grade may be replaced by a passing grade and receive unit credit provided the student completes the work of the course in a way authorized by the instructor.</w:t>
      </w:r>
    </w:p>
    <w:p>
      <w:pPr>
        <w:pStyle w:val="Heading1"/>
        <w:numPr>
          <w:ilvl w:val="0"/>
          <w:numId w:val="1"/>
        </w:numPr>
        <w:tabs>
          <w:tab w:pos="1079" w:val="left" w:leader="none"/>
        </w:tabs>
        <w:spacing w:line="240" w:lineRule="auto" w:before="287" w:after="0"/>
        <w:ind w:left="1079" w:right="0" w:hanging="359"/>
        <w:jc w:val="left"/>
      </w:pPr>
      <w:r>
        <w:rPr/>
        <w:t>Time </w:t>
      </w:r>
      <w:r>
        <w:rPr>
          <w:spacing w:val="-2"/>
        </w:rPr>
        <w:t>Limits</w:t>
      </w:r>
    </w:p>
    <w:p>
      <w:pPr>
        <w:pStyle w:val="Heading1"/>
        <w:spacing w:after="0" w:line="240" w:lineRule="auto"/>
        <w:jc w:val="left"/>
        <w:sectPr>
          <w:pgSz w:w="12240" w:h="15840"/>
          <w:pgMar w:header="0" w:footer="806" w:top="1420" w:bottom="1000" w:left="1440" w:right="1440"/>
        </w:sectPr>
      </w:pPr>
    </w:p>
    <w:p>
      <w:pPr>
        <w:spacing w:before="22"/>
        <w:ind w:left="1080" w:right="0" w:firstLine="0"/>
        <w:jc w:val="left"/>
        <w:rPr>
          <w:b/>
          <w:sz w:val="24"/>
        </w:rPr>
      </w:pPr>
      <w:r>
        <w:rPr>
          <w:b/>
          <w:sz w:val="24"/>
        </w:rPr>
        <w:t>a.</w:t>
      </w:r>
      <w:r>
        <w:rPr>
          <w:b/>
          <w:spacing w:val="57"/>
          <w:w w:val="150"/>
          <w:sz w:val="24"/>
        </w:rPr>
        <w:t> </w:t>
      </w:r>
      <w:r>
        <w:rPr>
          <w:b/>
          <w:sz w:val="24"/>
        </w:rPr>
        <w:t>Registered</w:t>
      </w:r>
      <w:r>
        <w:rPr>
          <w:b/>
          <w:spacing w:val="-1"/>
          <w:sz w:val="24"/>
        </w:rPr>
        <w:t> </w:t>
      </w:r>
      <w:r>
        <w:rPr>
          <w:b/>
          <w:spacing w:val="-2"/>
          <w:sz w:val="24"/>
        </w:rPr>
        <w:t>Students</w:t>
      </w:r>
    </w:p>
    <w:p>
      <w:pPr>
        <w:pStyle w:val="BodyText"/>
        <w:ind w:left="1440"/>
      </w:pPr>
      <w:r>
        <w:rPr/>
        <w:t>The</w:t>
      </w:r>
      <w:r>
        <w:rPr>
          <w:spacing w:val="-4"/>
        </w:rPr>
        <w:t> </w:t>
      </w:r>
      <w:r>
        <w:rPr/>
        <w:t>grade</w:t>
      </w:r>
      <w:r>
        <w:rPr>
          <w:spacing w:val="-4"/>
        </w:rPr>
        <w:t> </w:t>
      </w:r>
      <w:r>
        <w:rPr/>
        <w:t>Incomplete</w:t>
      </w:r>
      <w:r>
        <w:rPr>
          <w:spacing w:val="-4"/>
        </w:rPr>
        <w:t> </w:t>
      </w:r>
      <w:r>
        <w:rPr/>
        <w:t>may</w:t>
      </w:r>
      <w:r>
        <w:rPr>
          <w:spacing w:val="-4"/>
        </w:rPr>
        <w:t> </w:t>
      </w:r>
      <w:r>
        <w:rPr/>
        <w:t>only</w:t>
      </w:r>
      <w:r>
        <w:rPr>
          <w:spacing w:val="-4"/>
        </w:rPr>
        <w:t> </w:t>
      </w:r>
      <w:r>
        <w:rPr/>
        <w:t>be</w:t>
      </w:r>
      <w:r>
        <w:rPr>
          <w:spacing w:val="-4"/>
        </w:rPr>
        <w:t> </w:t>
      </w:r>
      <w:r>
        <w:rPr/>
        <w:t>replaced</w:t>
      </w:r>
      <w:r>
        <w:rPr>
          <w:spacing w:val="-4"/>
        </w:rPr>
        <w:t> </w:t>
      </w:r>
      <w:r>
        <w:rPr/>
        <w:t>by</w:t>
      </w:r>
      <w:r>
        <w:rPr>
          <w:spacing w:val="-4"/>
        </w:rPr>
        <w:t> </w:t>
      </w:r>
      <w:r>
        <w:rPr/>
        <w:t>another</w:t>
      </w:r>
      <w:r>
        <w:rPr>
          <w:spacing w:val="-4"/>
        </w:rPr>
        <w:t> </w:t>
      </w:r>
      <w:r>
        <w:rPr/>
        <w:t>grade</w:t>
      </w:r>
      <w:r>
        <w:rPr>
          <w:spacing w:val="-4"/>
        </w:rPr>
        <w:t> </w:t>
      </w:r>
      <w:r>
        <w:rPr/>
        <w:t>or</w:t>
      </w:r>
      <w:r>
        <w:rPr>
          <w:spacing w:val="-4"/>
        </w:rPr>
        <w:t> </w:t>
      </w:r>
      <w:r>
        <w:rPr/>
        <w:t>notation subject to the following:</w:t>
      </w:r>
    </w:p>
    <w:p>
      <w:pPr>
        <w:pStyle w:val="ListParagraph"/>
        <w:numPr>
          <w:ilvl w:val="1"/>
          <w:numId w:val="1"/>
        </w:numPr>
        <w:tabs>
          <w:tab w:pos="1980" w:val="left" w:leader="none"/>
        </w:tabs>
        <w:spacing w:line="240" w:lineRule="auto" w:before="0" w:after="0"/>
        <w:ind w:left="1980" w:right="28" w:hanging="494"/>
        <w:jc w:val="left"/>
        <w:rPr>
          <w:sz w:val="24"/>
        </w:rPr>
      </w:pPr>
      <w:r>
        <w:rPr>
          <w:sz w:val="24"/>
        </w:rPr>
        <w:t>The action must be taken prior to the end of the third quarter following the quarter in which the grade Incomplete was originally awarded, or prior to the end of the quarter immediately preceding award</w:t>
      </w:r>
      <w:r>
        <w:rPr>
          <w:spacing w:val="-4"/>
          <w:sz w:val="24"/>
        </w:rPr>
        <w:t> </w:t>
      </w:r>
      <w:r>
        <w:rPr>
          <w:sz w:val="24"/>
        </w:rPr>
        <w:t>of</w:t>
      </w:r>
      <w:r>
        <w:rPr>
          <w:spacing w:val="-5"/>
          <w:sz w:val="24"/>
        </w:rPr>
        <w:t> </w:t>
      </w:r>
      <w:r>
        <w:rPr>
          <w:sz w:val="24"/>
        </w:rPr>
        <w:t>the</w:t>
      </w:r>
      <w:r>
        <w:rPr>
          <w:spacing w:val="-4"/>
          <w:sz w:val="24"/>
        </w:rPr>
        <w:t> </w:t>
      </w:r>
      <w:r>
        <w:rPr>
          <w:sz w:val="24"/>
        </w:rPr>
        <w:t>degree,</w:t>
      </w:r>
      <w:r>
        <w:rPr>
          <w:spacing w:val="-5"/>
          <w:sz w:val="24"/>
        </w:rPr>
        <w:t> </w:t>
      </w:r>
      <w:r>
        <w:rPr>
          <w:sz w:val="24"/>
        </w:rPr>
        <w:t>whichever</w:t>
      </w:r>
      <w:r>
        <w:rPr>
          <w:spacing w:val="-4"/>
          <w:sz w:val="24"/>
        </w:rPr>
        <w:t> </w:t>
      </w:r>
      <w:r>
        <w:rPr>
          <w:sz w:val="24"/>
        </w:rPr>
        <w:t>comes</w:t>
      </w:r>
      <w:r>
        <w:rPr>
          <w:spacing w:val="-4"/>
          <w:sz w:val="24"/>
        </w:rPr>
        <w:t> </w:t>
      </w:r>
      <w:r>
        <w:rPr>
          <w:sz w:val="24"/>
        </w:rPr>
        <w:t>first</w:t>
      </w:r>
      <w:r>
        <w:rPr>
          <w:spacing w:val="-5"/>
          <w:sz w:val="24"/>
        </w:rPr>
        <w:t> </w:t>
      </w:r>
      <w:r>
        <w:rPr>
          <w:sz w:val="24"/>
        </w:rPr>
        <w:t>(instructors,</w:t>
      </w:r>
      <w:r>
        <w:rPr>
          <w:spacing w:val="-5"/>
          <w:sz w:val="24"/>
        </w:rPr>
        <w:t> </w:t>
      </w:r>
      <w:r>
        <w:rPr>
          <w:sz w:val="24"/>
        </w:rPr>
        <w:t>however,</w:t>
      </w:r>
      <w:r>
        <w:rPr>
          <w:spacing w:val="-5"/>
          <w:sz w:val="24"/>
        </w:rPr>
        <w:t> </w:t>
      </w:r>
      <w:r>
        <w:rPr>
          <w:sz w:val="24"/>
        </w:rPr>
        <w:t>are not obligated to allow the maximum time period).</w:t>
      </w:r>
    </w:p>
    <w:p>
      <w:pPr>
        <w:pStyle w:val="ListParagraph"/>
        <w:numPr>
          <w:ilvl w:val="1"/>
          <w:numId w:val="1"/>
        </w:numPr>
        <w:tabs>
          <w:tab w:pos="1980" w:val="left" w:leader="none"/>
        </w:tabs>
        <w:spacing w:line="240" w:lineRule="auto" w:before="0" w:after="0"/>
        <w:ind w:left="1980" w:right="133" w:hanging="561"/>
        <w:jc w:val="left"/>
        <w:rPr>
          <w:sz w:val="24"/>
        </w:rPr>
      </w:pPr>
      <w:r>
        <w:rPr>
          <w:sz w:val="24"/>
        </w:rPr>
        <w:t>Only quarters in which a student is enrolled will be counted in determining</w:t>
      </w:r>
      <w:r>
        <w:rPr>
          <w:spacing w:val="-4"/>
          <w:sz w:val="24"/>
        </w:rPr>
        <w:t> </w:t>
      </w:r>
      <w:r>
        <w:rPr>
          <w:sz w:val="24"/>
        </w:rPr>
        <w:t>the</w:t>
      </w:r>
      <w:r>
        <w:rPr>
          <w:spacing w:val="-4"/>
          <w:sz w:val="24"/>
        </w:rPr>
        <w:t> </w:t>
      </w:r>
      <w:r>
        <w:rPr>
          <w:sz w:val="24"/>
        </w:rPr>
        <w:t>time</w:t>
      </w:r>
      <w:r>
        <w:rPr>
          <w:spacing w:val="-4"/>
          <w:sz w:val="24"/>
        </w:rPr>
        <w:t> </w:t>
      </w:r>
      <w:r>
        <w:rPr>
          <w:sz w:val="24"/>
        </w:rPr>
        <w:t>after</w:t>
      </w:r>
      <w:r>
        <w:rPr>
          <w:spacing w:val="-4"/>
          <w:sz w:val="24"/>
        </w:rPr>
        <w:t> </w:t>
      </w:r>
      <w:r>
        <w:rPr>
          <w:sz w:val="24"/>
        </w:rPr>
        <w:t>which</w:t>
      </w:r>
      <w:r>
        <w:rPr>
          <w:spacing w:val="-4"/>
          <w:sz w:val="24"/>
        </w:rPr>
        <w:t> </w:t>
      </w:r>
      <w:r>
        <w:rPr>
          <w:sz w:val="24"/>
        </w:rPr>
        <w:t>the</w:t>
      </w:r>
      <w:r>
        <w:rPr>
          <w:spacing w:val="-4"/>
          <w:sz w:val="24"/>
        </w:rPr>
        <w:t> </w:t>
      </w:r>
      <w:r>
        <w:rPr>
          <w:sz w:val="24"/>
        </w:rPr>
        <w:t>grade</w:t>
      </w:r>
      <w:r>
        <w:rPr>
          <w:spacing w:val="-4"/>
          <w:sz w:val="24"/>
        </w:rPr>
        <w:t> </w:t>
      </w:r>
      <w:r>
        <w:rPr>
          <w:sz w:val="24"/>
        </w:rPr>
        <w:t>Incomplete</w:t>
      </w:r>
      <w:r>
        <w:rPr>
          <w:spacing w:val="-4"/>
          <w:sz w:val="24"/>
        </w:rPr>
        <w:t> </w:t>
      </w:r>
      <w:r>
        <w:rPr>
          <w:sz w:val="24"/>
        </w:rPr>
        <w:t>can</w:t>
      </w:r>
      <w:r>
        <w:rPr>
          <w:spacing w:val="-4"/>
          <w:sz w:val="24"/>
        </w:rPr>
        <w:t> </w:t>
      </w:r>
      <w:r>
        <w:rPr>
          <w:sz w:val="24"/>
        </w:rPr>
        <w:t>no</w:t>
      </w:r>
      <w:r>
        <w:rPr>
          <w:spacing w:val="-4"/>
          <w:sz w:val="24"/>
        </w:rPr>
        <w:t> </w:t>
      </w:r>
      <w:r>
        <w:rPr>
          <w:sz w:val="24"/>
        </w:rPr>
        <w:t>longer be replaced.</w:t>
      </w:r>
    </w:p>
    <w:sectPr>
      <w:pgSz w:w="12240" w:h="15840"/>
      <w:pgMar w:header="0" w:footer="806" w:top="1420" w:bottom="100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Helvetica">
    <w:altName w:val="Helvetica"/>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39200">
              <wp:simplePos x="0" y="0"/>
              <wp:positionH relativeFrom="page">
                <wp:posOffset>6742206</wp:posOffset>
              </wp:positionH>
              <wp:positionV relativeFrom="page">
                <wp:posOffset>9406709</wp:posOffset>
              </wp:positionV>
              <wp:extent cx="167005" cy="18224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7005" cy="182245"/>
                      </a:xfrm>
                      <a:prstGeom prst="rect">
                        <a:avLst/>
                      </a:prstGeom>
                    </wps:spPr>
                    <wps:txbx>
                      <w:txbxContent>
                        <w:p>
                          <w:pPr>
                            <w:spacing w:before="13"/>
                            <w:ind w:left="60" w:right="0" w:firstLine="0"/>
                            <w:jc w:val="left"/>
                            <w:rPr>
                              <w:rFonts w:ascii="Arial"/>
                              <w:sz w:val="22"/>
                            </w:rPr>
                          </w:pPr>
                          <w:r>
                            <w:rPr>
                              <w:rFonts w:ascii="Arial"/>
                              <w:spacing w:val="-10"/>
                              <w:sz w:val="22"/>
                            </w:rPr>
                            <w:fldChar w:fldCharType="begin"/>
                          </w:r>
                          <w:r>
                            <w:rPr>
                              <w:rFonts w:ascii="Arial"/>
                              <w:spacing w:val="-10"/>
                              <w:sz w:val="22"/>
                            </w:rPr>
                            <w:instrText> PAGE </w:instrText>
                          </w:r>
                          <w:r>
                            <w:rPr>
                              <w:rFonts w:ascii="Arial"/>
                              <w:spacing w:val="-10"/>
                              <w:sz w:val="22"/>
                            </w:rPr>
                            <w:fldChar w:fldCharType="separate"/>
                          </w:r>
                          <w:r>
                            <w:rPr>
                              <w:rFonts w:ascii="Arial"/>
                              <w:spacing w:val="-10"/>
                              <w:sz w:val="22"/>
                            </w:rPr>
                            <w:t>1</w:t>
                          </w:r>
                          <w:r>
                            <w:rPr>
                              <w:rFonts w:ascii="Arial"/>
                              <w:spacing w:val="-10"/>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0.882385pt;margin-top:740.685791pt;width:13.15pt;height:14.35pt;mso-position-horizontal-relative:page;mso-position-vertical-relative:page;z-index:-15777280" type="#_x0000_t202" id="docshape1" filled="false" stroked="false">
              <v:textbox inset="0,0,0,0">
                <w:txbxContent>
                  <w:p>
                    <w:pPr>
                      <w:spacing w:before="13"/>
                      <w:ind w:left="60" w:right="0" w:firstLine="0"/>
                      <w:jc w:val="left"/>
                      <w:rPr>
                        <w:rFonts w:ascii="Arial"/>
                        <w:sz w:val="22"/>
                      </w:rPr>
                    </w:pPr>
                    <w:r>
                      <w:rPr>
                        <w:rFonts w:ascii="Arial"/>
                        <w:spacing w:val="-10"/>
                        <w:sz w:val="22"/>
                      </w:rPr>
                      <w:fldChar w:fldCharType="begin"/>
                    </w:r>
                    <w:r>
                      <w:rPr>
                        <w:rFonts w:ascii="Arial"/>
                        <w:spacing w:val="-10"/>
                        <w:sz w:val="22"/>
                      </w:rPr>
                      <w:instrText> PAGE </w:instrText>
                    </w:r>
                    <w:r>
                      <w:rPr>
                        <w:rFonts w:ascii="Arial"/>
                        <w:spacing w:val="-10"/>
                        <w:sz w:val="22"/>
                      </w:rPr>
                      <w:fldChar w:fldCharType="separate"/>
                    </w:r>
                    <w:r>
                      <w:rPr>
                        <w:rFonts w:ascii="Arial"/>
                        <w:spacing w:val="-10"/>
                        <w:sz w:val="22"/>
                      </w:rPr>
                      <w:t>1</w:t>
                    </w:r>
                    <w:r>
                      <w:rPr>
                        <w:rFonts w:ascii="Arial"/>
                        <w:spacing w:val="-10"/>
                        <w:sz w:val="2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080" w:hanging="360"/>
        <w:jc w:val="left"/>
      </w:pPr>
      <w:rPr>
        <w:rFonts w:hint="default" w:ascii="Helvetica" w:hAnsi="Helvetica" w:eastAsia="Helvetica" w:cs="Helvetica"/>
        <w:b/>
        <w:bCs/>
        <w:i w:val="0"/>
        <w:iCs w:val="0"/>
        <w:spacing w:val="0"/>
        <w:w w:val="100"/>
        <w:sz w:val="24"/>
        <w:szCs w:val="24"/>
        <w:lang w:val="en-US" w:eastAsia="en-US" w:bidi="ar-SA"/>
      </w:rPr>
    </w:lvl>
    <w:lvl w:ilvl="1">
      <w:start w:val="1"/>
      <w:numFmt w:val="lowerRoman"/>
      <w:lvlText w:val="%2."/>
      <w:lvlJc w:val="left"/>
      <w:pPr>
        <w:ind w:left="1980" w:hanging="494"/>
        <w:jc w:val="right"/>
      </w:pPr>
      <w:rPr>
        <w:rFonts w:hint="default" w:ascii="Helvetica" w:hAnsi="Helvetica" w:eastAsia="Helvetica" w:cs="Helvetica"/>
        <w:b/>
        <w:bCs/>
        <w:i w:val="0"/>
        <w:iCs w:val="0"/>
        <w:spacing w:val="0"/>
        <w:w w:val="100"/>
        <w:sz w:val="24"/>
        <w:szCs w:val="24"/>
        <w:lang w:val="en-US" w:eastAsia="en-US" w:bidi="ar-SA"/>
      </w:rPr>
    </w:lvl>
    <w:lvl w:ilvl="2">
      <w:start w:val="0"/>
      <w:numFmt w:val="bullet"/>
      <w:lvlText w:val="•"/>
      <w:lvlJc w:val="left"/>
      <w:pPr>
        <w:ind w:left="2800" w:hanging="494"/>
      </w:pPr>
      <w:rPr>
        <w:rFonts w:hint="default"/>
        <w:lang w:val="en-US" w:eastAsia="en-US" w:bidi="ar-SA"/>
      </w:rPr>
    </w:lvl>
    <w:lvl w:ilvl="3">
      <w:start w:val="0"/>
      <w:numFmt w:val="bullet"/>
      <w:lvlText w:val="•"/>
      <w:lvlJc w:val="left"/>
      <w:pPr>
        <w:ind w:left="3620" w:hanging="494"/>
      </w:pPr>
      <w:rPr>
        <w:rFonts w:hint="default"/>
        <w:lang w:val="en-US" w:eastAsia="en-US" w:bidi="ar-SA"/>
      </w:rPr>
    </w:lvl>
    <w:lvl w:ilvl="4">
      <w:start w:val="0"/>
      <w:numFmt w:val="bullet"/>
      <w:lvlText w:val="•"/>
      <w:lvlJc w:val="left"/>
      <w:pPr>
        <w:ind w:left="4440" w:hanging="494"/>
      </w:pPr>
      <w:rPr>
        <w:rFonts w:hint="default"/>
        <w:lang w:val="en-US" w:eastAsia="en-US" w:bidi="ar-SA"/>
      </w:rPr>
    </w:lvl>
    <w:lvl w:ilvl="5">
      <w:start w:val="0"/>
      <w:numFmt w:val="bullet"/>
      <w:lvlText w:val="•"/>
      <w:lvlJc w:val="left"/>
      <w:pPr>
        <w:ind w:left="5260" w:hanging="494"/>
      </w:pPr>
      <w:rPr>
        <w:rFonts w:hint="default"/>
        <w:lang w:val="en-US" w:eastAsia="en-US" w:bidi="ar-SA"/>
      </w:rPr>
    </w:lvl>
    <w:lvl w:ilvl="6">
      <w:start w:val="0"/>
      <w:numFmt w:val="bullet"/>
      <w:lvlText w:val="•"/>
      <w:lvlJc w:val="left"/>
      <w:pPr>
        <w:ind w:left="6080" w:hanging="494"/>
      </w:pPr>
      <w:rPr>
        <w:rFonts w:hint="default"/>
        <w:lang w:val="en-US" w:eastAsia="en-US" w:bidi="ar-SA"/>
      </w:rPr>
    </w:lvl>
    <w:lvl w:ilvl="7">
      <w:start w:val="0"/>
      <w:numFmt w:val="bullet"/>
      <w:lvlText w:val="•"/>
      <w:lvlJc w:val="left"/>
      <w:pPr>
        <w:ind w:left="6900" w:hanging="494"/>
      </w:pPr>
      <w:rPr>
        <w:rFonts w:hint="default"/>
        <w:lang w:val="en-US" w:eastAsia="en-US" w:bidi="ar-SA"/>
      </w:rPr>
    </w:lvl>
    <w:lvl w:ilvl="8">
      <w:start w:val="0"/>
      <w:numFmt w:val="bullet"/>
      <w:lvlText w:val="•"/>
      <w:lvlJc w:val="left"/>
      <w:pPr>
        <w:ind w:left="7720" w:hanging="494"/>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Helvetica" w:hAnsi="Helvetica" w:eastAsia="Helvetica" w:cs="Helvetica"/>
      <w:lang w:val="en-US" w:eastAsia="en-US" w:bidi="ar-SA"/>
    </w:rPr>
  </w:style>
  <w:style w:styleId="BodyText" w:type="paragraph">
    <w:name w:val="Body Text"/>
    <w:basedOn w:val="Normal"/>
    <w:uiPriority w:val="1"/>
    <w:qFormat/>
    <w:pPr/>
    <w:rPr>
      <w:rFonts w:ascii="Helvetica" w:hAnsi="Helvetica" w:eastAsia="Helvetica" w:cs="Helvetica"/>
      <w:sz w:val="24"/>
      <w:szCs w:val="24"/>
      <w:lang w:val="en-US" w:eastAsia="en-US" w:bidi="ar-SA"/>
    </w:rPr>
  </w:style>
  <w:style w:styleId="Heading1" w:type="paragraph">
    <w:name w:val="Heading 1"/>
    <w:basedOn w:val="Normal"/>
    <w:uiPriority w:val="1"/>
    <w:qFormat/>
    <w:pPr>
      <w:outlineLvl w:val="1"/>
    </w:pPr>
    <w:rPr>
      <w:rFonts w:ascii="Helvetica" w:hAnsi="Helvetica" w:eastAsia="Helvetica" w:cs="Helvetica"/>
      <w:b/>
      <w:bCs/>
      <w:sz w:val="24"/>
      <w:szCs w:val="24"/>
      <w:lang w:val="en-US" w:eastAsia="en-US" w:bidi="ar-SA"/>
    </w:rPr>
  </w:style>
  <w:style w:styleId="ListParagraph" w:type="paragraph">
    <w:name w:val="List Paragraph"/>
    <w:basedOn w:val="Normal"/>
    <w:uiPriority w:val="1"/>
    <w:qFormat/>
    <w:pPr>
      <w:ind w:left="1079" w:hanging="359"/>
    </w:pPr>
    <w:rPr>
      <w:rFonts w:ascii="Helvetica" w:hAnsi="Helvetica" w:eastAsia="Helvetica" w:cs="Helvetica"/>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Lucas Hilderbrand</dc:creator>
  <dc:title>FMS graduate seminar best practices 1.9.26</dc:title>
  <dcterms:created xsi:type="dcterms:W3CDTF">2026-09-10T23:55:58Z</dcterms:created>
  <dcterms:modified xsi:type="dcterms:W3CDTF">2026-09-10T23:55:58Z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2026-01-22T00:00:00Z</vt:filetime>
  </property>
  <property fmtid="{D5CDD505-2E9C-101B-9397-08002B2CF9AE}" pid="3" name="Creator">
    <vt:lpwstr>Word</vt:lpwstr>
  </property>
  <property fmtid="{D5CDD505-2E9C-101B-9397-08002B2CF9AE}" pid="4" name="LastSaved">
    <vt:filetime>2026-09-10T00:00:00Z</vt:filetime>
  </property>
  <property fmtid="{D5CDD505-2E9C-101B-9397-08002B2CF9AE}" pid="5" name="Producer">
    <vt:lpwstr>macOS Version 12.3.1 (Build 21E258) Quartz PDFContext</vt:lpwstr>
  </property>
</Properties>
</file>